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EF06E"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1.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vėžio gydymo būdui, kur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yra naudojama derinyje su PD-1 ašį surišančiu antagonistu, kur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apima mažiausiai dvi antigeną surišančias dalis, iš kurių viena yra </w:t>
      </w:r>
      <w:proofErr w:type="spellStart"/>
      <w:r w:rsidRPr="006256BA">
        <w:rPr>
          <w:rFonts w:ascii="Helvetica" w:hAnsi="Helvetica"/>
          <w:szCs w:val="24"/>
        </w:rPr>
        <w:t>krosoverinė</w:t>
      </w:r>
      <w:proofErr w:type="spellEnd"/>
      <w:r w:rsidRPr="006256BA">
        <w:rPr>
          <w:rFonts w:ascii="Helvetica" w:hAnsi="Helvetica"/>
          <w:szCs w:val="24"/>
        </w:rPr>
        <w:t xml:space="preserve"> </w:t>
      </w:r>
      <w:proofErr w:type="spellStart"/>
      <w:r w:rsidRPr="006256BA">
        <w:rPr>
          <w:rFonts w:ascii="Helvetica" w:hAnsi="Helvetica"/>
          <w:szCs w:val="24"/>
        </w:rPr>
        <w:t>Fab</w:t>
      </w:r>
      <w:proofErr w:type="spellEnd"/>
      <w:r w:rsidRPr="006256BA">
        <w:rPr>
          <w:rFonts w:ascii="Helvetica" w:hAnsi="Helvetica"/>
          <w:szCs w:val="24"/>
        </w:rPr>
        <w:t xml:space="preserve"> molekulė, ir viena yra įprastinė </w:t>
      </w:r>
      <w:proofErr w:type="spellStart"/>
      <w:r w:rsidRPr="006256BA">
        <w:rPr>
          <w:rFonts w:ascii="Helvetica" w:hAnsi="Helvetica"/>
          <w:szCs w:val="24"/>
        </w:rPr>
        <w:t>Fab</w:t>
      </w:r>
      <w:proofErr w:type="spellEnd"/>
      <w:r w:rsidRPr="006256BA">
        <w:rPr>
          <w:rFonts w:ascii="Helvetica" w:hAnsi="Helvetica"/>
          <w:szCs w:val="24"/>
        </w:rPr>
        <w:t xml:space="preserve"> molekulė, kur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dar apima </w:t>
      </w:r>
      <w:proofErr w:type="spellStart"/>
      <w:r w:rsidRPr="006256BA">
        <w:rPr>
          <w:rFonts w:ascii="Helvetica" w:hAnsi="Helvetica"/>
          <w:szCs w:val="24"/>
        </w:rPr>
        <w:t>Fc</w:t>
      </w:r>
      <w:proofErr w:type="spellEnd"/>
      <w:r w:rsidRPr="006256BA">
        <w:rPr>
          <w:rFonts w:ascii="Helvetica" w:hAnsi="Helvetica"/>
          <w:szCs w:val="24"/>
        </w:rPr>
        <w:t xml:space="preserve"> domeną, sudarytą iš pirmojo ir antrojo </w:t>
      </w:r>
      <w:proofErr w:type="spellStart"/>
      <w:r w:rsidRPr="006256BA">
        <w:rPr>
          <w:rFonts w:ascii="Helvetica" w:hAnsi="Helvetica"/>
          <w:szCs w:val="24"/>
        </w:rPr>
        <w:t>subvienetų</w:t>
      </w:r>
      <w:proofErr w:type="spellEnd"/>
      <w:r w:rsidRPr="006256BA">
        <w:rPr>
          <w:rFonts w:ascii="Helvetica" w:hAnsi="Helvetica"/>
          <w:szCs w:val="24"/>
        </w:rPr>
        <w:t xml:space="preserve">, galinčių sudaryti stabilią sąsają, kur pirmoji antigeną surišanti molekulė apima pirmąją antigeną surišančią dalį, galinčią prisijungti prie CD3, apimančią mažiausiai vieną sunkiosios grandinės </w:t>
      </w:r>
      <w:proofErr w:type="spellStart"/>
      <w:r w:rsidRPr="006256BA">
        <w:rPr>
          <w:rFonts w:ascii="Helvetica" w:hAnsi="Helvetica"/>
          <w:szCs w:val="24"/>
        </w:rPr>
        <w:t>komplementarumą</w:t>
      </w:r>
      <w:proofErr w:type="spellEnd"/>
      <w:r w:rsidRPr="006256BA">
        <w:rPr>
          <w:rFonts w:ascii="Helvetica" w:hAnsi="Helvetica"/>
          <w:szCs w:val="24"/>
        </w:rPr>
        <w:t xml:space="preserve"> lemiančios srities (CDR) aminorūgščių seką, parinktą iš grupės, kurią sudaro SEQ ID Nr. 37, SEQ ID Nr. 38 ir SEQ ID Nr. 39, ir mažiausiai vieną lengvosios grandinės CDR, parinktą iš grupės, kurią sudaro SEQ ID Nr. 32, SEQ ID Nr. 33, SEQ ID Nr. 34, kur pirmoji antigeną surišanti dalis ties </w:t>
      </w:r>
      <w:proofErr w:type="spellStart"/>
      <w:r w:rsidRPr="006256BA">
        <w:rPr>
          <w:rFonts w:ascii="Helvetica" w:hAnsi="Helvetica"/>
          <w:szCs w:val="24"/>
        </w:rPr>
        <w:t>Fab</w:t>
      </w:r>
      <w:proofErr w:type="spellEnd"/>
      <w:r w:rsidRPr="006256BA">
        <w:rPr>
          <w:rFonts w:ascii="Helvetica" w:hAnsi="Helvetica"/>
          <w:szCs w:val="24"/>
        </w:rPr>
        <w:t xml:space="preserve"> sunkiosios grandinės C galu yra sulieta su pirmojo arba antrojo </w:t>
      </w:r>
      <w:proofErr w:type="spellStart"/>
      <w:r w:rsidRPr="006256BA">
        <w:rPr>
          <w:rFonts w:ascii="Helvetica" w:hAnsi="Helvetica"/>
          <w:szCs w:val="24"/>
        </w:rPr>
        <w:t>Fc</w:t>
      </w:r>
      <w:proofErr w:type="spellEnd"/>
      <w:r w:rsidRPr="006256BA">
        <w:rPr>
          <w:rFonts w:ascii="Helvetica" w:hAnsi="Helvetica"/>
          <w:szCs w:val="24"/>
        </w:rPr>
        <w:t xml:space="preserve"> domeno </w:t>
      </w:r>
      <w:proofErr w:type="spellStart"/>
      <w:r w:rsidRPr="006256BA">
        <w:rPr>
          <w:rFonts w:ascii="Helvetica" w:hAnsi="Helvetica"/>
          <w:szCs w:val="24"/>
        </w:rPr>
        <w:t>subvieneto</w:t>
      </w:r>
      <w:proofErr w:type="spellEnd"/>
      <w:r w:rsidRPr="006256BA">
        <w:rPr>
          <w:rFonts w:ascii="Helvetica" w:hAnsi="Helvetica"/>
          <w:szCs w:val="24"/>
        </w:rPr>
        <w:t xml:space="preserve"> N galu, ir antroji antigeną surišanti dalis ties </w:t>
      </w:r>
      <w:proofErr w:type="spellStart"/>
      <w:r w:rsidRPr="006256BA">
        <w:rPr>
          <w:rFonts w:ascii="Helvetica" w:hAnsi="Helvetica"/>
          <w:szCs w:val="24"/>
        </w:rPr>
        <w:t>Fab</w:t>
      </w:r>
      <w:proofErr w:type="spellEnd"/>
      <w:r w:rsidRPr="006256BA">
        <w:rPr>
          <w:rFonts w:ascii="Helvetica" w:hAnsi="Helvetica"/>
          <w:szCs w:val="24"/>
        </w:rPr>
        <w:t xml:space="preserve"> sunkiosios grandinės C galu yra sulieta su pirmosios antigeną surišančios dalies </w:t>
      </w:r>
      <w:proofErr w:type="spellStart"/>
      <w:r w:rsidRPr="006256BA">
        <w:rPr>
          <w:rFonts w:ascii="Helvetica" w:hAnsi="Helvetica"/>
          <w:szCs w:val="24"/>
        </w:rPr>
        <w:t>Fab</w:t>
      </w:r>
      <w:proofErr w:type="spellEnd"/>
      <w:r w:rsidRPr="006256BA">
        <w:rPr>
          <w:rFonts w:ascii="Helvetica" w:hAnsi="Helvetica"/>
          <w:szCs w:val="24"/>
        </w:rPr>
        <w:t xml:space="preserve"> sunkiosios grandinės N galu, kur PD-1 ašį surišantis antagonistas slopina PD-1 prisijungimą prie jo ligandą surišančių partnerių, kur PD-1 ašį surišantis antagonistas yra parinktas iš grupės, kurią sudaro anti-PD-1 antikūnas, anti-PD-L1 antikūnas ir anti-PD-L2 antikūnas.</w:t>
      </w:r>
    </w:p>
    <w:p w14:paraId="42D14D6C" w14:textId="77777777" w:rsidR="006256BA" w:rsidRPr="006256BA" w:rsidRDefault="006256BA" w:rsidP="006256BA">
      <w:pPr>
        <w:spacing w:line="360" w:lineRule="auto"/>
        <w:ind w:firstLine="567"/>
        <w:jc w:val="both"/>
        <w:rPr>
          <w:rFonts w:ascii="Helvetica" w:hAnsi="Helvetica"/>
          <w:szCs w:val="24"/>
        </w:rPr>
      </w:pPr>
    </w:p>
    <w:p w14:paraId="787A98E7"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2.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1 punktą, kur pirmoji antigeną surišanti molekulė apima kintamą sunkiąją grandinę, apimančią aminorūgščių seką, pažymėtą SEQ ID Nr. 36, ir kintamą lengvąją grandinę, apimančią aminorūgščių seką, pažymėtą SEQ ID Nr. 31.</w:t>
      </w:r>
    </w:p>
    <w:p w14:paraId="35902883" w14:textId="77777777" w:rsidR="006256BA" w:rsidRPr="006256BA" w:rsidRDefault="006256BA" w:rsidP="006256BA">
      <w:pPr>
        <w:spacing w:line="360" w:lineRule="auto"/>
        <w:ind w:firstLine="567"/>
        <w:jc w:val="both"/>
        <w:rPr>
          <w:rFonts w:ascii="Helvetica" w:hAnsi="Helvetica"/>
          <w:szCs w:val="24"/>
        </w:rPr>
      </w:pPr>
    </w:p>
    <w:p w14:paraId="1248DA52"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3.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1 arba 2 punktą, kur anti-PD-L1 antikūnas yra </w:t>
      </w:r>
      <w:proofErr w:type="spellStart"/>
      <w:r w:rsidRPr="006256BA">
        <w:rPr>
          <w:rFonts w:ascii="Helvetica" w:hAnsi="Helvetica"/>
          <w:szCs w:val="24"/>
        </w:rPr>
        <w:t>monokloninis</w:t>
      </w:r>
      <w:proofErr w:type="spellEnd"/>
      <w:r w:rsidRPr="006256BA">
        <w:rPr>
          <w:rFonts w:ascii="Helvetica" w:hAnsi="Helvetica"/>
          <w:szCs w:val="24"/>
        </w:rPr>
        <w:t xml:space="preserve"> antikūnas.</w:t>
      </w:r>
    </w:p>
    <w:p w14:paraId="1A0BF9D8" w14:textId="77777777" w:rsidR="006256BA" w:rsidRPr="006256BA" w:rsidRDefault="006256BA" w:rsidP="006256BA">
      <w:pPr>
        <w:spacing w:line="360" w:lineRule="auto"/>
        <w:ind w:firstLine="567"/>
        <w:jc w:val="both"/>
        <w:rPr>
          <w:rFonts w:ascii="Helvetica" w:hAnsi="Helvetica"/>
          <w:szCs w:val="24"/>
        </w:rPr>
      </w:pPr>
    </w:p>
    <w:p w14:paraId="0FEC2DC5"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4.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1–3 punktų, kur anti-PD-L1 antikūnas yra antikūno fragmentas, parinktas iš grupės, kurią sudaro </w:t>
      </w:r>
      <w:proofErr w:type="spellStart"/>
      <w:r w:rsidRPr="006256BA">
        <w:rPr>
          <w:rFonts w:ascii="Helvetica" w:hAnsi="Helvetica"/>
          <w:szCs w:val="24"/>
        </w:rPr>
        <w:t>Fab</w:t>
      </w:r>
      <w:proofErr w:type="spellEnd"/>
      <w:r w:rsidRPr="006256BA">
        <w:rPr>
          <w:rFonts w:ascii="Helvetica" w:hAnsi="Helvetica"/>
          <w:szCs w:val="24"/>
        </w:rPr>
        <w:t xml:space="preserve">, </w:t>
      </w:r>
      <w:proofErr w:type="spellStart"/>
      <w:r w:rsidRPr="006256BA">
        <w:rPr>
          <w:rFonts w:ascii="Helvetica" w:hAnsi="Helvetica"/>
          <w:szCs w:val="24"/>
        </w:rPr>
        <w:t>Fab</w:t>
      </w:r>
      <w:proofErr w:type="spellEnd"/>
      <w:r w:rsidRPr="006256BA">
        <w:rPr>
          <w:rFonts w:ascii="Helvetica" w:hAnsi="Helvetica"/>
          <w:szCs w:val="24"/>
        </w:rPr>
        <w:t xml:space="preserve">'-SH, </w:t>
      </w:r>
      <w:proofErr w:type="spellStart"/>
      <w:r w:rsidRPr="006256BA">
        <w:rPr>
          <w:rFonts w:ascii="Helvetica" w:hAnsi="Helvetica"/>
          <w:szCs w:val="24"/>
        </w:rPr>
        <w:t>Fv</w:t>
      </w:r>
      <w:proofErr w:type="spellEnd"/>
      <w:r w:rsidRPr="006256BA">
        <w:rPr>
          <w:rFonts w:ascii="Helvetica" w:hAnsi="Helvetica"/>
          <w:szCs w:val="24"/>
        </w:rPr>
        <w:t xml:space="preserve">, </w:t>
      </w:r>
      <w:proofErr w:type="spellStart"/>
      <w:r w:rsidRPr="006256BA">
        <w:rPr>
          <w:rFonts w:ascii="Helvetica" w:hAnsi="Helvetica"/>
          <w:szCs w:val="24"/>
        </w:rPr>
        <w:t>scFv</w:t>
      </w:r>
      <w:proofErr w:type="spellEnd"/>
      <w:r w:rsidRPr="006256BA">
        <w:rPr>
          <w:rFonts w:ascii="Helvetica" w:hAnsi="Helvetica"/>
          <w:szCs w:val="24"/>
        </w:rPr>
        <w:t xml:space="preserve"> ir (</w:t>
      </w:r>
      <w:proofErr w:type="spellStart"/>
      <w:r w:rsidRPr="006256BA">
        <w:rPr>
          <w:rFonts w:ascii="Helvetica" w:hAnsi="Helvetica"/>
          <w:szCs w:val="24"/>
        </w:rPr>
        <w:t>Fab</w:t>
      </w:r>
      <w:proofErr w:type="spellEnd"/>
      <w:r w:rsidRPr="006256BA">
        <w:rPr>
          <w:rFonts w:ascii="Helvetica" w:hAnsi="Helvetica"/>
          <w:szCs w:val="24"/>
        </w:rPr>
        <w:t>')2 fragmentai.</w:t>
      </w:r>
    </w:p>
    <w:p w14:paraId="3FD29B3D" w14:textId="77777777" w:rsidR="006256BA" w:rsidRPr="006256BA" w:rsidRDefault="006256BA" w:rsidP="006256BA">
      <w:pPr>
        <w:spacing w:line="360" w:lineRule="auto"/>
        <w:ind w:firstLine="567"/>
        <w:jc w:val="both"/>
        <w:rPr>
          <w:rFonts w:ascii="Helvetica" w:hAnsi="Helvetica"/>
          <w:szCs w:val="24"/>
        </w:rPr>
      </w:pPr>
    </w:p>
    <w:p w14:paraId="72A497F5"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5.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1–4 punktų, kur anti-PD-L1 antikūnas yra humanizuotas antikūnas arba žmogaus antikūnas.</w:t>
      </w:r>
    </w:p>
    <w:p w14:paraId="7080AD96" w14:textId="77777777" w:rsidR="006256BA" w:rsidRPr="006256BA" w:rsidRDefault="006256BA" w:rsidP="006256BA">
      <w:pPr>
        <w:spacing w:line="360" w:lineRule="auto"/>
        <w:ind w:firstLine="567"/>
        <w:jc w:val="both"/>
        <w:rPr>
          <w:rFonts w:ascii="Helvetica" w:hAnsi="Helvetica"/>
          <w:szCs w:val="24"/>
        </w:rPr>
      </w:pPr>
    </w:p>
    <w:p w14:paraId="2F669774"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6.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1–5 punktų, kur anti-PD-L1 antikūnas apima sunkiąją grandinę, apimančią HVR-H1 seką, pažymėtą SEQ ID Nr. 289, HVR-H2 seką, pažymėtą SEQ ID Nr. 290, ir HVR-H3 seką, pažymėtą SEQ ID Nr. 291; ir lengvąją grandinę, apimančią HVR-L1 seką, pažymėtą SEQ ID Nr. 292, HVR-L2 seką, pažymėtą SEQ ID Nr. 293, ir HVR-L3 seką, pažymėtą SEQ ID Nr. 294.</w:t>
      </w:r>
    </w:p>
    <w:p w14:paraId="22DC25EE" w14:textId="77777777" w:rsidR="006256BA" w:rsidRPr="006256BA" w:rsidRDefault="006256BA" w:rsidP="006256BA">
      <w:pPr>
        <w:spacing w:line="360" w:lineRule="auto"/>
        <w:ind w:firstLine="567"/>
        <w:jc w:val="both"/>
        <w:rPr>
          <w:rFonts w:ascii="Helvetica" w:hAnsi="Helvetica"/>
          <w:szCs w:val="24"/>
        </w:rPr>
      </w:pPr>
    </w:p>
    <w:p w14:paraId="0DCD03F4"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7.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1–6 punktų, kur antikūnas apima sunkiosios grandinės kintamą sritį, apimančią aminorūgščių seką, pažymėtą SEQ ID Nr. 280 arba SEQ ID Nr. 281, ir lengvosios grandinės kintamą sritį, apimančią aminorūgščių seką, pažymėtą SEQ ID Nr. 383.</w:t>
      </w:r>
    </w:p>
    <w:p w14:paraId="2E2D1728" w14:textId="77777777" w:rsidR="006256BA" w:rsidRPr="006256BA" w:rsidRDefault="006256BA" w:rsidP="006256BA">
      <w:pPr>
        <w:spacing w:line="360" w:lineRule="auto"/>
        <w:ind w:firstLine="567"/>
        <w:jc w:val="both"/>
        <w:rPr>
          <w:rFonts w:ascii="Helvetica" w:hAnsi="Helvetica"/>
          <w:szCs w:val="24"/>
        </w:rPr>
      </w:pPr>
    </w:p>
    <w:p w14:paraId="0D1D4DB5"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lastRenderedPageBreak/>
        <w:t xml:space="preserve">8.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1–7 punktų, dar apimanti T ląstelių imunoglobulino </w:t>
      </w:r>
      <w:proofErr w:type="spellStart"/>
      <w:r w:rsidRPr="006256BA">
        <w:rPr>
          <w:rFonts w:ascii="Helvetica" w:hAnsi="Helvetica"/>
          <w:szCs w:val="24"/>
        </w:rPr>
        <w:t>mucino</w:t>
      </w:r>
      <w:proofErr w:type="spellEnd"/>
      <w:r w:rsidRPr="006256BA">
        <w:rPr>
          <w:rFonts w:ascii="Helvetica" w:hAnsi="Helvetica"/>
          <w:szCs w:val="24"/>
        </w:rPr>
        <w:t xml:space="preserve"> 3 (TIM3) antagonisto skyrimą asmeniui, kur TIM3 antagonistas yra anti-TIM3 antikūnas.</w:t>
      </w:r>
    </w:p>
    <w:p w14:paraId="7176D468" w14:textId="77777777" w:rsidR="006256BA" w:rsidRPr="006256BA" w:rsidRDefault="006256BA" w:rsidP="006256BA">
      <w:pPr>
        <w:spacing w:line="360" w:lineRule="auto"/>
        <w:ind w:firstLine="567"/>
        <w:jc w:val="both"/>
        <w:rPr>
          <w:rFonts w:ascii="Helvetica" w:hAnsi="Helvetica"/>
          <w:szCs w:val="24"/>
        </w:rPr>
      </w:pPr>
    </w:p>
    <w:p w14:paraId="383AD6B8"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9.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8 punktą, kur anti-TIM3 antikūnas yra </w:t>
      </w:r>
      <w:proofErr w:type="spellStart"/>
      <w:r w:rsidRPr="006256BA">
        <w:rPr>
          <w:rFonts w:ascii="Helvetica" w:hAnsi="Helvetica"/>
          <w:szCs w:val="24"/>
        </w:rPr>
        <w:t>monokloninis</w:t>
      </w:r>
      <w:proofErr w:type="spellEnd"/>
      <w:r w:rsidRPr="006256BA">
        <w:rPr>
          <w:rFonts w:ascii="Helvetica" w:hAnsi="Helvetica"/>
          <w:szCs w:val="24"/>
        </w:rPr>
        <w:t xml:space="preserve"> antikūnas.</w:t>
      </w:r>
    </w:p>
    <w:p w14:paraId="2BBD55C0" w14:textId="77777777" w:rsidR="006256BA" w:rsidRPr="006256BA" w:rsidRDefault="006256BA" w:rsidP="006256BA">
      <w:pPr>
        <w:spacing w:line="360" w:lineRule="auto"/>
        <w:ind w:firstLine="567"/>
        <w:jc w:val="both"/>
        <w:rPr>
          <w:rFonts w:ascii="Helvetica" w:hAnsi="Helvetica"/>
          <w:szCs w:val="24"/>
        </w:rPr>
      </w:pPr>
    </w:p>
    <w:p w14:paraId="444C3300"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10.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8 arba 9 punktą, kur anti-TIM3 antikūnas yra žmogaus, humanizuotas arba chimerinis antikūnas.</w:t>
      </w:r>
    </w:p>
    <w:p w14:paraId="2D0C2328" w14:textId="77777777" w:rsidR="006256BA" w:rsidRPr="006256BA" w:rsidRDefault="006256BA" w:rsidP="006256BA">
      <w:pPr>
        <w:spacing w:line="360" w:lineRule="auto"/>
        <w:ind w:firstLine="567"/>
        <w:jc w:val="both"/>
        <w:rPr>
          <w:rFonts w:ascii="Helvetica" w:hAnsi="Helvetica"/>
          <w:szCs w:val="24"/>
        </w:rPr>
      </w:pPr>
    </w:p>
    <w:p w14:paraId="3A4D5EE4"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11.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8–10 punktų, kur anti-TIM3 antikūnas yra antikūno fragmentas, kuris jungiasi prie TIM3.</w:t>
      </w:r>
    </w:p>
    <w:p w14:paraId="2ACFEA50" w14:textId="77777777" w:rsidR="006256BA" w:rsidRPr="006256BA" w:rsidRDefault="006256BA" w:rsidP="006256BA">
      <w:pPr>
        <w:spacing w:line="360" w:lineRule="auto"/>
        <w:ind w:firstLine="567"/>
        <w:jc w:val="both"/>
        <w:rPr>
          <w:rFonts w:ascii="Helvetica" w:hAnsi="Helvetica"/>
          <w:szCs w:val="24"/>
        </w:rPr>
      </w:pPr>
    </w:p>
    <w:p w14:paraId="453E2D24"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12.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8–11 punktų, kur anti-TIM3 antikūnas yra </w:t>
      </w:r>
      <w:proofErr w:type="spellStart"/>
      <w:r w:rsidRPr="006256BA">
        <w:rPr>
          <w:rFonts w:ascii="Helvetica" w:hAnsi="Helvetica"/>
          <w:szCs w:val="24"/>
        </w:rPr>
        <w:t>Fab</w:t>
      </w:r>
      <w:proofErr w:type="spellEnd"/>
      <w:r w:rsidRPr="006256BA">
        <w:rPr>
          <w:rFonts w:ascii="Helvetica" w:hAnsi="Helvetica"/>
          <w:szCs w:val="24"/>
        </w:rPr>
        <w:t xml:space="preserve"> fragmentas.</w:t>
      </w:r>
    </w:p>
    <w:p w14:paraId="51149FFA" w14:textId="77777777" w:rsidR="006256BA" w:rsidRPr="006256BA" w:rsidRDefault="006256BA" w:rsidP="006256BA">
      <w:pPr>
        <w:spacing w:line="360" w:lineRule="auto"/>
        <w:ind w:firstLine="567"/>
        <w:jc w:val="both"/>
        <w:rPr>
          <w:rFonts w:ascii="Helvetica" w:hAnsi="Helvetica"/>
          <w:szCs w:val="24"/>
        </w:rPr>
      </w:pPr>
    </w:p>
    <w:p w14:paraId="7D568F86"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13.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1–12 punktų, kur vėžys yra parinktas iš grupės, kurią sudaro kiaušidžių vėžys, plaučių vėžys, krūties vėžys, inkstų vėžys, gaubtinės ir tiesiosios žarnos vėžys, gimdos gleivinės vėžys.</w:t>
      </w:r>
    </w:p>
    <w:p w14:paraId="76DE57B4" w14:textId="77777777" w:rsidR="006256BA" w:rsidRPr="006256BA" w:rsidRDefault="006256BA" w:rsidP="006256BA">
      <w:pPr>
        <w:spacing w:line="360" w:lineRule="auto"/>
        <w:ind w:firstLine="567"/>
        <w:jc w:val="both"/>
        <w:rPr>
          <w:rFonts w:ascii="Helvetica" w:hAnsi="Helvetica"/>
          <w:szCs w:val="24"/>
        </w:rPr>
      </w:pPr>
    </w:p>
    <w:p w14:paraId="7CCCF286"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14.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1–13 punktų, kur bent vienas iš T ląstelę aktyvinančios </w:t>
      </w:r>
      <w:proofErr w:type="spellStart"/>
      <w:r w:rsidRPr="006256BA">
        <w:rPr>
          <w:rFonts w:ascii="Helvetica" w:hAnsi="Helvetica"/>
          <w:szCs w:val="24"/>
        </w:rPr>
        <w:t>bispecifinės</w:t>
      </w:r>
      <w:proofErr w:type="spellEnd"/>
      <w:r w:rsidRPr="006256BA">
        <w:rPr>
          <w:rFonts w:ascii="Helvetica" w:hAnsi="Helvetica"/>
          <w:szCs w:val="24"/>
        </w:rPr>
        <w:t xml:space="preserve"> antigeną surišančios molekulės ir PD-1 ašį surišančio antagonisto yra įvedamas į veną, į raumenis, po oda, vietiškai, per burną, per odą, į pilvaplėvės ertmę, </w:t>
      </w:r>
      <w:proofErr w:type="spellStart"/>
      <w:r w:rsidRPr="006256BA">
        <w:rPr>
          <w:rFonts w:ascii="Helvetica" w:hAnsi="Helvetica"/>
          <w:szCs w:val="24"/>
        </w:rPr>
        <w:t>intraorbitaliai</w:t>
      </w:r>
      <w:proofErr w:type="spellEnd"/>
      <w:r w:rsidRPr="006256BA">
        <w:rPr>
          <w:rFonts w:ascii="Helvetica" w:hAnsi="Helvetica"/>
          <w:szCs w:val="24"/>
        </w:rPr>
        <w:t xml:space="preserve">, implantuojant, įkvepiant, </w:t>
      </w:r>
      <w:proofErr w:type="spellStart"/>
      <w:r w:rsidRPr="006256BA">
        <w:rPr>
          <w:rFonts w:ascii="Helvetica" w:hAnsi="Helvetica"/>
          <w:szCs w:val="24"/>
        </w:rPr>
        <w:t>intratekaliai</w:t>
      </w:r>
      <w:proofErr w:type="spellEnd"/>
      <w:r w:rsidRPr="006256BA">
        <w:rPr>
          <w:rFonts w:ascii="Helvetica" w:hAnsi="Helvetica"/>
          <w:szCs w:val="24"/>
        </w:rPr>
        <w:t>, į smegenų skilvelius arba į nosį.</w:t>
      </w:r>
    </w:p>
    <w:p w14:paraId="497273BA" w14:textId="77777777" w:rsidR="006256BA" w:rsidRPr="006256BA" w:rsidRDefault="006256BA" w:rsidP="006256BA">
      <w:pPr>
        <w:spacing w:line="360" w:lineRule="auto"/>
        <w:ind w:firstLine="567"/>
        <w:jc w:val="both"/>
        <w:rPr>
          <w:rFonts w:ascii="Helvetica" w:hAnsi="Helvetica"/>
          <w:szCs w:val="24"/>
        </w:rPr>
      </w:pPr>
    </w:p>
    <w:p w14:paraId="5D80FFC8" w14:textId="77777777" w:rsidR="006256BA" w:rsidRPr="006256BA" w:rsidRDefault="006256BA" w:rsidP="006256BA">
      <w:pPr>
        <w:spacing w:line="360" w:lineRule="auto"/>
        <w:ind w:firstLine="567"/>
        <w:jc w:val="both"/>
        <w:rPr>
          <w:rFonts w:ascii="Helvetica" w:hAnsi="Helvetica"/>
          <w:szCs w:val="24"/>
        </w:rPr>
      </w:pPr>
      <w:r w:rsidRPr="006256BA">
        <w:rPr>
          <w:rFonts w:ascii="Helvetica" w:hAnsi="Helvetica"/>
          <w:szCs w:val="24"/>
        </w:rPr>
        <w:t xml:space="preserve">15. T ląstelę aktyvinanti </w:t>
      </w:r>
      <w:proofErr w:type="spellStart"/>
      <w:r w:rsidRPr="006256BA">
        <w:rPr>
          <w:rFonts w:ascii="Helvetica" w:hAnsi="Helvetica"/>
          <w:szCs w:val="24"/>
        </w:rPr>
        <w:t>bispecifinė</w:t>
      </w:r>
      <w:proofErr w:type="spellEnd"/>
      <w:r w:rsidRPr="006256BA">
        <w:rPr>
          <w:rFonts w:ascii="Helvetica" w:hAnsi="Helvetica"/>
          <w:szCs w:val="24"/>
        </w:rPr>
        <w:t xml:space="preserve"> antigeną surišanti molekulė, skirta naudoti pagal bet kurį iš 1–14 punktų, kur asmens T ląstelių aktyvacija, </w:t>
      </w:r>
      <w:proofErr w:type="spellStart"/>
      <w:r w:rsidRPr="006256BA">
        <w:rPr>
          <w:rFonts w:ascii="Helvetica" w:hAnsi="Helvetica"/>
          <w:szCs w:val="24"/>
        </w:rPr>
        <w:t>proliferacija</w:t>
      </w:r>
      <w:proofErr w:type="spellEnd"/>
      <w:r w:rsidRPr="006256BA">
        <w:rPr>
          <w:rFonts w:ascii="Helvetica" w:hAnsi="Helvetica"/>
          <w:szCs w:val="24"/>
        </w:rPr>
        <w:t xml:space="preserve"> ir (arba) </w:t>
      </w:r>
      <w:proofErr w:type="spellStart"/>
      <w:r w:rsidRPr="006256BA">
        <w:rPr>
          <w:rFonts w:ascii="Helvetica" w:hAnsi="Helvetica"/>
          <w:szCs w:val="24"/>
        </w:rPr>
        <w:t>efektorinė</w:t>
      </w:r>
      <w:proofErr w:type="spellEnd"/>
      <w:r w:rsidRPr="006256BA">
        <w:rPr>
          <w:rFonts w:ascii="Helvetica" w:hAnsi="Helvetica"/>
          <w:szCs w:val="24"/>
        </w:rPr>
        <w:t xml:space="preserve"> funkcija yra stipresnė, nei prieš įvedant šį derinį.</w:t>
      </w:r>
    </w:p>
    <w:p w14:paraId="61EB5DF7" w14:textId="77777777" w:rsidR="006256BA" w:rsidRPr="006256BA" w:rsidRDefault="006256BA" w:rsidP="006256BA">
      <w:pPr>
        <w:spacing w:line="360" w:lineRule="auto"/>
        <w:jc w:val="both"/>
        <w:rPr>
          <w:rFonts w:ascii="Helvetica" w:hAnsi="Helvetica"/>
          <w:szCs w:val="24"/>
        </w:rPr>
      </w:pPr>
    </w:p>
    <w:sectPr w:rsidR="006256BA" w:rsidRPr="006256BA" w:rsidSect="006256B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7E786" w14:textId="77777777" w:rsidR="006256BA" w:rsidRDefault="006256BA" w:rsidP="006256BA">
      <w:r>
        <w:separator/>
      </w:r>
    </w:p>
  </w:endnote>
  <w:endnote w:type="continuationSeparator" w:id="0">
    <w:p w14:paraId="43C5F8F8" w14:textId="77777777" w:rsidR="006256BA" w:rsidRDefault="006256BA" w:rsidP="0062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CD114" w14:textId="77777777" w:rsidR="006256BA" w:rsidRDefault="006256BA" w:rsidP="006256BA">
      <w:r>
        <w:separator/>
      </w:r>
    </w:p>
  </w:footnote>
  <w:footnote w:type="continuationSeparator" w:id="0">
    <w:p w14:paraId="06F05429" w14:textId="77777777" w:rsidR="006256BA" w:rsidRDefault="006256BA" w:rsidP="00625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0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256BA"/>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061C2"/>
    <w:rsid w:val="00610A52"/>
    <w:rsid w:val="00620AE2"/>
    <w:rsid w:val="0062383E"/>
    <w:rsid w:val="006256BA"/>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C3DB"/>
  <w15:chartTrackingRefBased/>
  <w15:docId w15:val="{E889329E-8D7E-424D-8BF2-43BDE5E6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6256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6256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6256B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6256B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6256BA"/>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6256B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56B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256B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56B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56BA"/>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6256BA"/>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6256BA"/>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6256BA"/>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6256BA"/>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6256BA"/>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6256BA"/>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6256BA"/>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6256BA"/>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6256B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56BA"/>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6256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56BA"/>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6256B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256BA"/>
    <w:rPr>
      <w:i/>
      <w:iCs/>
      <w:color w:val="404040" w:themeColor="text1" w:themeTint="BF"/>
      <w:lang w:eastAsia="en-US"/>
    </w:rPr>
  </w:style>
  <w:style w:type="paragraph" w:styleId="Sraopastraipa">
    <w:name w:val="List Paragraph"/>
    <w:basedOn w:val="prastasis"/>
    <w:uiPriority w:val="34"/>
    <w:qFormat/>
    <w:rsid w:val="006256BA"/>
    <w:pPr>
      <w:ind w:left="720"/>
      <w:contextualSpacing/>
    </w:pPr>
  </w:style>
  <w:style w:type="character" w:styleId="Rykuspabraukimas">
    <w:name w:val="Intense Emphasis"/>
    <w:basedOn w:val="Numatytasispastraiposriftas"/>
    <w:uiPriority w:val="21"/>
    <w:qFormat/>
    <w:rsid w:val="006256BA"/>
    <w:rPr>
      <w:i/>
      <w:iCs/>
      <w:color w:val="365F91" w:themeColor="accent1" w:themeShade="BF"/>
    </w:rPr>
  </w:style>
  <w:style w:type="paragraph" w:styleId="Iskirtacitata">
    <w:name w:val="Intense Quote"/>
    <w:basedOn w:val="prastasis"/>
    <w:next w:val="prastasis"/>
    <w:link w:val="IskirtacitataDiagrama"/>
    <w:uiPriority w:val="30"/>
    <w:qFormat/>
    <w:rsid w:val="006256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6256BA"/>
    <w:rPr>
      <w:i/>
      <w:iCs/>
      <w:color w:val="365F91" w:themeColor="accent1" w:themeShade="BF"/>
      <w:lang w:eastAsia="en-US"/>
    </w:rPr>
  </w:style>
  <w:style w:type="character" w:styleId="Rykinuoroda">
    <w:name w:val="Intense Reference"/>
    <w:basedOn w:val="Numatytasispastraiposriftas"/>
    <w:uiPriority w:val="32"/>
    <w:qFormat/>
    <w:rsid w:val="006256BA"/>
    <w:rPr>
      <w:b/>
      <w:bCs/>
      <w:smallCaps/>
      <w:color w:val="365F91" w:themeColor="accent1" w:themeShade="BF"/>
      <w:spacing w:val="5"/>
    </w:rPr>
  </w:style>
  <w:style w:type="paragraph" w:styleId="Antrats">
    <w:name w:val="header"/>
    <w:basedOn w:val="prastasis"/>
    <w:link w:val="AntratsDiagrama"/>
    <w:uiPriority w:val="99"/>
    <w:unhideWhenUsed/>
    <w:rsid w:val="006256BA"/>
    <w:pPr>
      <w:tabs>
        <w:tab w:val="center" w:pos="4819"/>
        <w:tab w:val="right" w:pos="9638"/>
      </w:tabs>
    </w:pPr>
  </w:style>
  <w:style w:type="character" w:customStyle="1" w:styleId="AntratsDiagrama">
    <w:name w:val="Antraštės Diagrama"/>
    <w:basedOn w:val="Numatytasispastraiposriftas"/>
    <w:link w:val="Antrats"/>
    <w:uiPriority w:val="99"/>
    <w:rsid w:val="006256BA"/>
    <w:rPr>
      <w:lang w:eastAsia="en-US"/>
    </w:rPr>
  </w:style>
  <w:style w:type="paragraph" w:styleId="Porat">
    <w:name w:val="footer"/>
    <w:basedOn w:val="prastasis"/>
    <w:link w:val="PoratDiagrama"/>
    <w:uiPriority w:val="99"/>
    <w:unhideWhenUsed/>
    <w:rsid w:val="006256BA"/>
    <w:pPr>
      <w:tabs>
        <w:tab w:val="center" w:pos="4819"/>
        <w:tab w:val="right" w:pos="9638"/>
      </w:tabs>
    </w:pPr>
  </w:style>
  <w:style w:type="character" w:customStyle="1" w:styleId="PoratDiagrama">
    <w:name w:val="Poraštė Diagrama"/>
    <w:basedOn w:val="Numatytasispastraiposriftas"/>
    <w:link w:val="Porat"/>
    <w:uiPriority w:val="99"/>
    <w:rsid w:val="00625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4367</Characters>
  <Application>Microsoft Office Word</Application>
  <DocSecurity>0</DocSecurity>
  <Lines>72</Lines>
  <Paragraphs>20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2024-07-19T06:39:00Z</dcterms:created>
  <dcterms:modified xsi:type="dcterms:W3CDTF">2024-07-19T06:42:00Z</dcterms:modified>
</cp:coreProperties>
</file>