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7863F" w14:textId="340410B8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proofErr w:type="spellStart"/>
      <w:r w:rsidRPr="006760C5">
        <w:rPr>
          <w:rFonts w:ascii="Helvetica" w:hAnsi="Helvetica" w:cs="Helvetica"/>
          <w:bCs/>
          <w:i/>
          <w:iCs/>
          <w:sz w:val="20"/>
        </w:rPr>
        <w:t>In</w:t>
      </w:r>
      <w:proofErr w:type="spellEnd"/>
      <w:r w:rsidRPr="006760C5">
        <w:rPr>
          <w:rFonts w:ascii="Helvetica" w:hAnsi="Helvetica" w:cs="Helvetica"/>
          <w:bCs/>
          <w:i/>
          <w:iCs/>
          <w:sz w:val="20"/>
        </w:rPr>
        <w:t xml:space="preserve"> </w:t>
      </w:r>
      <w:proofErr w:type="spellStart"/>
      <w:r w:rsidRPr="006760C5">
        <w:rPr>
          <w:rFonts w:ascii="Helvetica" w:hAnsi="Helvetica" w:cs="Helvetica"/>
          <w:bCs/>
          <w:i/>
          <w:iCs/>
          <w:sz w:val="20"/>
        </w:rPr>
        <w:t>vitro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būdas, skirtas identifikuoti subjektą, kuriam gresia progresuojanti </w:t>
      </w:r>
      <w:proofErr w:type="spellStart"/>
      <w:r w:rsidRPr="006760C5">
        <w:rPr>
          <w:rFonts w:ascii="Helvetica" w:hAnsi="Helvetica" w:cs="Helvetica"/>
          <w:bCs/>
          <w:sz w:val="20"/>
        </w:rPr>
        <w:t>daugiažidininė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</w:t>
      </w:r>
      <w:proofErr w:type="spellStart"/>
      <w:r w:rsidRPr="006760C5">
        <w:rPr>
          <w:rFonts w:ascii="Helvetica" w:hAnsi="Helvetica" w:cs="Helvetica"/>
          <w:bCs/>
          <w:sz w:val="20"/>
        </w:rPr>
        <w:t>leukoencefalopatija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(PML), apimantis pirminį ir antrinį tyrimą; </w:t>
      </w:r>
    </w:p>
    <w:p w14:paraId="6C15D9C7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kur pirminis tyrimas apima:</w:t>
      </w:r>
    </w:p>
    <w:p w14:paraId="1D509EA8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(a) biologinio mėginio, gauto iš tiriamojo, kontaktavimą su labai išgrynintomis VP1 dalelėmis (HPVLP), daugiausia sudarytomis iš JCV baltymo VP1, </w:t>
      </w:r>
      <w:proofErr w:type="spellStart"/>
      <w:r w:rsidRPr="006760C5">
        <w:rPr>
          <w:rFonts w:ascii="Helvetica" w:hAnsi="Helvetica" w:cs="Helvetica"/>
          <w:bCs/>
          <w:sz w:val="20"/>
        </w:rPr>
        <w:t>imobilizuoto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ant kieto substrato sąlygomis, tinkamomis JC viruso (JCV) antikūnui prijungti mėginyje prie HPVLP;</w:t>
      </w:r>
    </w:p>
    <w:p w14:paraId="38E35425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(b) JCV antikūnų prisijungimo prie HPVLP lygio mėginyje aptikimą; ir</w:t>
      </w:r>
    </w:p>
    <w:p w14:paraId="041FE35D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(c) aptikto lygio koreliaciją su etaloniniu lygiu, gautu iš kontrolinio mėginio arba mėginių rinkinio, kuris yra apdorotas su tiriamojo mėginiu;</w:t>
      </w:r>
    </w:p>
    <w:p w14:paraId="56622B0B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ir kur antrinis tyrimas apima:</w:t>
      </w:r>
    </w:p>
    <w:p w14:paraId="0F1A310C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(a) dalies biologinio mėginio, gauto iš tiriamojo, kontaktavimą su labai išgrynintomis į virusą panašiomis dalelėmis (HPVLP), daugiausia sudarytomis iš JCV baltymo VP1, tirpale tokiomis sąlygomis, kurios yra tinkamos JCV antikūnui mėginyje prisijungti prie HPVLP, tokiu būdu suteikiant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inkubuotą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mėginį;</w:t>
      </w:r>
    </w:p>
    <w:p w14:paraId="7AD849FC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(b)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mėginio kontaktavimą su HPVLP, daugiausia susidedančio iš JCV baltymo VP1, </w:t>
      </w:r>
      <w:proofErr w:type="spellStart"/>
      <w:r w:rsidRPr="006760C5">
        <w:rPr>
          <w:rFonts w:ascii="Helvetica" w:hAnsi="Helvetica" w:cs="Helvetica"/>
          <w:bCs/>
          <w:sz w:val="20"/>
        </w:rPr>
        <w:t>imobilizuoto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ant kieto substrato sąlygomis, tinkamomis JCV antikūnui mėginyje prijungti prie HPVLP;</w:t>
      </w:r>
    </w:p>
    <w:p w14:paraId="569B4454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(c) JCV antikūno lygio aptikimą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inkubuotame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mėginyje, prisijungusiame prie </w:t>
      </w:r>
      <w:proofErr w:type="spellStart"/>
      <w:r w:rsidRPr="006760C5">
        <w:rPr>
          <w:rFonts w:ascii="Helvetica" w:hAnsi="Helvetica" w:cs="Helvetica"/>
          <w:bCs/>
          <w:sz w:val="20"/>
        </w:rPr>
        <w:t>imobilizuotų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HPVLP; ir</w:t>
      </w:r>
    </w:p>
    <w:p w14:paraId="1D99270E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(d) aptikto JCV antikūno lygio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inkubuotame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biologiniame mėginyje palyginimas su JCV antikūno lygiu, aptiktu biologiniame mėginyje, gautame iš tiriamojo, kuris buvo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tirpale be HPVLP ir buvo kontaktuojamas su HPVLP, </w:t>
      </w:r>
      <w:proofErr w:type="spellStart"/>
      <w:r w:rsidRPr="006760C5">
        <w:rPr>
          <w:rFonts w:ascii="Helvetica" w:hAnsi="Helvetica" w:cs="Helvetica"/>
          <w:bCs/>
          <w:sz w:val="20"/>
        </w:rPr>
        <w:t>imobilizuoto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ant kieto substrato tokiomis sąlygomis, kurios yra tinkamos JCV antikūnui mėginyje prisijungti prie HPVLP,</w:t>
      </w:r>
    </w:p>
    <w:p w14:paraId="177C0414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kur HPVLP yra sudaryti iš daugiau nei 5, mažiausiai 50, 150 arba 360 VP1 </w:t>
      </w:r>
      <w:proofErr w:type="spellStart"/>
      <w:r w:rsidRPr="006760C5">
        <w:rPr>
          <w:rFonts w:ascii="Helvetica" w:hAnsi="Helvetica" w:cs="Helvetica"/>
          <w:bCs/>
          <w:sz w:val="20"/>
        </w:rPr>
        <w:t>polipeptidų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; kur aptikto JCV antikūno lygio sumažėjimas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inkubuotame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biologiniame mėginyje, palyginti su biologiniu mėginiu, gautu iš tiriamojo, kuris buvo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tirpale be HPVLP, rodo, kad mėginys yra teigiamas JCV antikūnui ir tiriamajam yra padidėjusi rizika susirgti PML,</w:t>
      </w:r>
    </w:p>
    <w:p w14:paraId="0BB52B64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ir aptikto JCV antikūnų lygio pokytis žemiau nurodytos procentinės dalies rodo, kad mėginyje nėra JCV specifinių antikūnų.</w:t>
      </w:r>
    </w:p>
    <w:p w14:paraId="404E50AD" w14:textId="2D6C283E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1779E347" w14:textId="5CC6C240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2. Būdas pagal 1 punktą, kur biologinio mėginio kontaktavimas su tirpale </w:t>
      </w:r>
      <w:proofErr w:type="spellStart"/>
      <w:r w:rsidRPr="006760C5">
        <w:rPr>
          <w:rFonts w:ascii="Helvetica" w:hAnsi="Helvetica" w:cs="Helvetica"/>
          <w:bCs/>
          <w:sz w:val="20"/>
        </w:rPr>
        <w:t>esasnčiais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HPVLP yra parinktas iš 30 minučių, vienos valandos arba per naktį 4</w:t>
      </w:r>
      <w:r w:rsidR="006D6202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>°C temperatūroje.</w:t>
      </w:r>
    </w:p>
    <w:p w14:paraId="64E04245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2F0BDE2A" w14:textId="23468226" w:rsidR="00114DBE" w:rsidRPr="006760C5" w:rsidRDefault="00876D0D" w:rsidP="006760C5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3.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>Būdas pagal 1 punktą, kur nurodyta procentinė dalis yra 40 % ir būdas naudoja HPVLP ELISA.</w:t>
      </w:r>
    </w:p>
    <w:p w14:paraId="3A10D9E2" w14:textId="335135DC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02423C36" w14:textId="77777777" w:rsidR="00114DBE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4. Būdas pagal 1 punktą, kur etaloninis lygis yra parenkamas taip, kad būtų užtikrintas 3 % arba mažesnis klaidingai neigiamas rodiklis JCV antikūnų aptikimui mėginyje, gautame iš subjekto.</w:t>
      </w:r>
    </w:p>
    <w:p w14:paraId="33838AB2" w14:textId="4D8C0E7D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586C8F1A" w14:textId="534C20DD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5. Būdas pagal 1 punktą, kur etaloninis lygis yra parenkamas taip, kad būtų užtikrintas 1 % arba mažesnis klaidingai neigiamas rodiklis JCV antikūnų aptikimui mėginyje, gautame iš subjekto.</w:t>
      </w:r>
    </w:p>
    <w:p w14:paraId="6BB13C97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75307AB1" w14:textId="62FBC21F" w:rsidR="00114DBE" w:rsidRPr="006760C5" w:rsidRDefault="00876D0D" w:rsidP="006760C5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6.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Būdas pagal 1 punktą, kur iš subjekto gautas biologinis mėginys yra klasifikuojamas kaip neigiamas JCV antikūnui, kai JCV antikūno lygis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inkubuotame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biologiniame mėginyje, jungiantis prie </w:t>
      </w:r>
      <w:proofErr w:type="spellStart"/>
      <w:r w:rsidRPr="006760C5">
        <w:rPr>
          <w:rFonts w:ascii="Helvetica" w:hAnsi="Helvetica" w:cs="Helvetica"/>
          <w:bCs/>
          <w:sz w:val="20"/>
        </w:rPr>
        <w:t>imobilizuotų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HPVLP,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yra maždaug toks pat kaip aptikto JCV antikūno lygis biologiniame mėginyje, gautame iš tiriamojo, kuris buvo iš anksto </w:t>
      </w:r>
      <w:proofErr w:type="spellStart"/>
      <w:r w:rsidRPr="006760C5">
        <w:rPr>
          <w:rFonts w:ascii="Helvetica" w:hAnsi="Helvetica" w:cs="Helvetica"/>
          <w:bCs/>
          <w:sz w:val="20"/>
        </w:rPr>
        <w:t>inkubuotas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tirpale be HPVLP.</w:t>
      </w:r>
    </w:p>
    <w:p w14:paraId="57BABA60" w14:textId="2A95A1DE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6D4D186F" w14:textId="77777777" w:rsidR="00114DBE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lastRenderedPageBreak/>
        <w:t xml:space="preserve">7. Būdas pagal 1 punktą, kur HPVLP turi daugiau nei 1, mažiausiai 5, 10, 20, 30, 40, 50, 60, 70 arba 72 VP1 </w:t>
      </w:r>
      <w:proofErr w:type="spellStart"/>
      <w:r w:rsidRPr="006760C5">
        <w:rPr>
          <w:rFonts w:ascii="Helvetica" w:hAnsi="Helvetica" w:cs="Helvetica"/>
          <w:bCs/>
          <w:sz w:val="20"/>
        </w:rPr>
        <w:t>pentamerus</w:t>
      </w:r>
      <w:proofErr w:type="spellEnd"/>
      <w:r w:rsidRPr="006760C5">
        <w:rPr>
          <w:rFonts w:ascii="Helvetica" w:hAnsi="Helvetica" w:cs="Helvetica"/>
          <w:bCs/>
          <w:sz w:val="20"/>
        </w:rPr>
        <w:t>.</w:t>
      </w:r>
    </w:p>
    <w:p w14:paraId="318CDE3A" w14:textId="496F847C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04361963" w14:textId="77777777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8. Būdas pagal 1 punktą, kur:</w:t>
      </w:r>
    </w:p>
    <w:p w14:paraId="2A7894ED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(i) HPVLP papildomai apima bent vieną iš JCV VP2 arba JCV VP3; arba</w:t>
      </w:r>
    </w:p>
    <w:p w14:paraId="6EF61725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(ii) HPVLP esantis VP1 yra </w:t>
      </w:r>
      <w:proofErr w:type="spellStart"/>
      <w:r w:rsidRPr="006760C5">
        <w:rPr>
          <w:rFonts w:ascii="Helvetica" w:hAnsi="Helvetica" w:cs="Helvetica"/>
          <w:bCs/>
          <w:sz w:val="20"/>
        </w:rPr>
        <w:t>rekombinantinis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VP1; arba</w:t>
      </w:r>
    </w:p>
    <w:p w14:paraId="71E2D87B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(iii) bent vienas HPVLP esantis VP1 yra mutantas VP1.</w:t>
      </w:r>
    </w:p>
    <w:p w14:paraId="2697D235" w14:textId="590BB43E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296807E8" w14:textId="26479146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9. Būdas pagal 1 punktą, kur biologinis mėginys yra serumas.</w:t>
      </w:r>
    </w:p>
    <w:p w14:paraId="6A861F33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17042228" w14:textId="1AA9BD10" w:rsidR="00876D0D" w:rsidRPr="006760C5" w:rsidRDefault="00876D0D" w:rsidP="006760C5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10.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Būdas pagal 1 punktą, kur biologinis mėginys yra iš subjekto, kuriam paskirtas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, arba subjekto, kuris svarsto galimybę vartoti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imunomoduliatorių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, kur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yra parinktas iš anti-VLA-4 terapijos, anti-CD20 terapijos, anti-CD11a terapijos arba </w:t>
      </w:r>
      <w:proofErr w:type="spellStart"/>
      <w:r w:rsidRPr="006760C5">
        <w:rPr>
          <w:rFonts w:ascii="Helvetica" w:hAnsi="Helvetica" w:cs="Helvetica"/>
          <w:bCs/>
          <w:sz w:val="20"/>
        </w:rPr>
        <w:t>mikofenolato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</w:t>
      </w:r>
      <w:proofErr w:type="spellStart"/>
      <w:r w:rsidRPr="006760C5">
        <w:rPr>
          <w:rFonts w:ascii="Helvetica" w:hAnsi="Helvetica" w:cs="Helvetica"/>
          <w:bCs/>
          <w:sz w:val="20"/>
        </w:rPr>
        <w:t>mofetilo</w:t>
      </w:r>
      <w:proofErr w:type="spellEnd"/>
      <w:r w:rsidRPr="006760C5">
        <w:rPr>
          <w:rFonts w:ascii="Helvetica" w:hAnsi="Helvetica" w:cs="Helvetica"/>
          <w:bCs/>
          <w:sz w:val="20"/>
        </w:rPr>
        <w:t>.</w:t>
      </w:r>
    </w:p>
    <w:p w14:paraId="484F03D8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463884D6" w14:textId="2148BEC7" w:rsidR="00114DBE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11.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Būdas pagal 10 punktą, kur subjektui yra paskirtas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arba subjektas svarsto galimybę vartoti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imunomoduliatorių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, kuriam anksčiau nebuvo skirtas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imunomoduliatoriaus</w:t>
      </w:r>
      <w:proofErr w:type="spellEnd"/>
      <w:r w:rsidRPr="006760C5">
        <w:rPr>
          <w:rFonts w:ascii="Helvetica" w:hAnsi="Helvetica" w:cs="Helvetica"/>
          <w:bCs/>
          <w:sz w:val="20"/>
        </w:rPr>
        <w:t>.</w:t>
      </w:r>
    </w:p>
    <w:p w14:paraId="149F07F7" w14:textId="7CC6D278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34014162" w14:textId="494A1E8B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12. Būdas pagal 10 punktą, kur subjektas anksčiau gavo vieną arba daugiau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imunomoduliatoriaus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dozių.</w:t>
      </w:r>
    </w:p>
    <w:p w14:paraId="06C35625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2F361E5A" w14:textId="62255195" w:rsidR="00876D0D" w:rsidRPr="006760C5" w:rsidRDefault="00876D0D" w:rsidP="006760C5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13.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Būdas pagal 1 punktą, kur JCV antikūnų prisijungimo prie HPVLP aptikimas rodo, kad subjektas: </w:t>
      </w:r>
    </w:p>
    <w:p w14:paraId="4A371CB1" w14:textId="77777777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(i) nėra kandidatas gydyti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imunomoduliatoriumi</w:t>
      </w:r>
      <w:proofErr w:type="spellEnd"/>
      <w:r w:rsidRPr="006760C5">
        <w:rPr>
          <w:rFonts w:ascii="Helvetica" w:hAnsi="Helvetica" w:cs="Helvetica"/>
          <w:bCs/>
          <w:sz w:val="20"/>
        </w:rPr>
        <w:t>, jei biologinis mėginys yra teigiamas JCV antikūnui; arba</w:t>
      </w:r>
    </w:p>
    <w:p w14:paraId="27356DE9" w14:textId="6610EE22" w:rsidR="00876D0D" w:rsidRPr="006760C5" w:rsidRDefault="00876D0D" w:rsidP="006760C5">
      <w:pPr>
        <w:spacing w:after="0" w:line="360" w:lineRule="auto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 xml:space="preserve">(ii) yra kandidatas gydyti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imunomoduliatoriumi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ir sustiprintam nepageidaujamų simptomų stebėjimui gydant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imunomoduliatoriumi</w:t>
      </w:r>
      <w:proofErr w:type="spellEnd"/>
      <w:r w:rsidRPr="006760C5">
        <w:rPr>
          <w:rFonts w:ascii="Helvetica" w:hAnsi="Helvetica" w:cs="Helvetica"/>
          <w:bCs/>
          <w:sz w:val="20"/>
        </w:rPr>
        <w:t>, kur nepageidaujami simptomai rodo PML vystymąsi.</w:t>
      </w:r>
    </w:p>
    <w:p w14:paraId="572BA62B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4DB84B81" w14:textId="3B78E57D" w:rsidR="00114DBE" w:rsidRPr="006760C5" w:rsidRDefault="00876D0D" w:rsidP="006760C5">
      <w:pPr>
        <w:spacing w:after="0" w:line="360" w:lineRule="auto"/>
        <w:ind w:firstLine="567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14.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 xml:space="preserve">Būdas pagal 1 punktą, kur JCV antikūnų prisijungimo prie HPVLP neaptikimas rodo, kad subjektas yra kandidatas gauti gydymą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imunomoduliatoriumi</w:t>
      </w:r>
      <w:proofErr w:type="spellEnd"/>
      <w:r w:rsidRPr="006760C5">
        <w:rPr>
          <w:rFonts w:ascii="Helvetica" w:hAnsi="Helvetica" w:cs="Helvetica"/>
          <w:bCs/>
          <w:sz w:val="20"/>
        </w:rPr>
        <w:t>.</w:t>
      </w:r>
    </w:p>
    <w:p w14:paraId="47C64C1A" w14:textId="328C6D96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1D624DBA" w14:textId="30235F49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15. Būdas pagal 1 punktą, kur subjektas, turintis biologinį mėginį, kurio pirminio tyrimo metu nustatyta, kad jis neturi JCV antikūnų, po pirminio tyrimo yra pakartotinai tiriamas bent kartą per metus dėl JCV antikūnų buvimo.</w:t>
      </w:r>
    </w:p>
    <w:p w14:paraId="56BC4B82" w14:textId="77777777" w:rsidR="007E7712" w:rsidRPr="006760C5" w:rsidRDefault="007E7712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4C0A171D" w14:textId="1F4546B0" w:rsidR="00114DBE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16.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>Būdas pagal 1 punktą, kur subjektas, kuriam pirmą kartą</w:t>
      </w:r>
      <w:r w:rsidR="00114DBE" w:rsidRPr="006760C5">
        <w:rPr>
          <w:rFonts w:ascii="Helvetica" w:hAnsi="Helvetica" w:cs="Helvetica"/>
          <w:bCs/>
          <w:sz w:val="20"/>
        </w:rPr>
        <w:t xml:space="preserve"> </w:t>
      </w:r>
      <w:r w:rsidRPr="006760C5">
        <w:rPr>
          <w:rFonts w:ascii="Helvetica" w:hAnsi="Helvetica" w:cs="Helvetica"/>
          <w:bCs/>
          <w:sz w:val="20"/>
        </w:rPr>
        <w:t>buvo nustatyta pagal 1 punktą, kad jis turi JCV antikūnų, yra pakartotinai tiriamas vėliau, siekiant nustatyti, ar subjektas neturi JCV antikūnų.</w:t>
      </w:r>
    </w:p>
    <w:p w14:paraId="5F4C8899" w14:textId="266277CA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5205A511" w14:textId="01454FC9" w:rsidR="00114DBE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17. Būdas pagal bet kurį iš 10</w:t>
      </w:r>
      <w:r w:rsidR="00016501">
        <w:rPr>
          <w:rFonts w:ascii="Helvetica" w:hAnsi="Helvetica" w:cs="Helvetica"/>
          <w:bCs/>
          <w:sz w:val="20"/>
        </w:rPr>
        <w:t>–</w:t>
      </w:r>
      <w:r w:rsidRPr="006760C5">
        <w:rPr>
          <w:rFonts w:ascii="Helvetica" w:hAnsi="Helvetica" w:cs="Helvetica"/>
          <w:bCs/>
          <w:sz w:val="20"/>
        </w:rPr>
        <w:t xml:space="preserve">14 punktų, kur </w:t>
      </w:r>
      <w:proofErr w:type="spellStart"/>
      <w:r w:rsidRPr="006760C5">
        <w:rPr>
          <w:rFonts w:ascii="Helvetica" w:hAnsi="Helvetica" w:cs="Helvetica"/>
          <w:bCs/>
          <w:sz w:val="20"/>
        </w:rPr>
        <w:t>imunomoduliatorius</w:t>
      </w:r>
      <w:proofErr w:type="spellEnd"/>
      <w:r w:rsidRPr="006760C5">
        <w:rPr>
          <w:rFonts w:ascii="Helvetica" w:hAnsi="Helvetica" w:cs="Helvetica"/>
          <w:bCs/>
          <w:sz w:val="20"/>
        </w:rPr>
        <w:t xml:space="preserve"> yra </w:t>
      </w:r>
      <w:proofErr w:type="spellStart"/>
      <w:r w:rsidRPr="006760C5">
        <w:rPr>
          <w:rFonts w:ascii="Helvetica" w:hAnsi="Helvetica" w:cs="Helvetica"/>
          <w:bCs/>
          <w:sz w:val="20"/>
        </w:rPr>
        <w:t>natalizumabas</w:t>
      </w:r>
      <w:proofErr w:type="spellEnd"/>
      <w:r w:rsidRPr="006760C5">
        <w:rPr>
          <w:rFonts w:ascii="Helvetica" w:hAnsi="Helvetica" w:cs="Helvetica"/>
          <w:bCs/>
          <w:sz w:val="20"/>
        </w:rPr>
        <w:t>.</w:t>
      </w:r>
    </w:p>
    <w:p w14:paraId="16213FFC" w14:textId="2A9A5042" w:rsidR="00876D0D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</w:p>
    <w:p w14:paraId="35EC69C5" w14:textId="194BE1C2" w:rsidR="00A57087" w:rsidRPr="006760C5" w:rsidRDefault="00876D0D" w:rsidP="00F97D12">
      <w:pPr>
        <w:spacing w:after="0" w:line="360" w:lineRule="auto"/>
        <w:ind w:firstLine="540"/>
        <w:jc w:val="both"/>
        <w:rPr>
          <w:rFonts w:ascii="Helvetica" w:hAnsi="Helvetica" w:cs="Helvetica"/>
          <w:bCs/>
          <w:sz w:val="20"/>
        </w:rPr>
      </w:pPr>
      <w:r w:rsidRPr="006760C5">
        <w:rPr>
          <w:rFonts w:ascii="Helvetica" w:hAnsi="Helvetica" w:cs="Helvetica"/>
          <w:bCs/>
          <w:sz w:val="20"/>
        </w:rPr>
        <w:t>18. Būdas pagal 1 punktą, kur subjektas serga išsėtine skleroze (MS) arba Krono liga (CD).</w:t>
      </w:r>
    </w:p>
    <w:sectPr w:rsidR="00A57087" w:rsidRPr="006760C5" w:rsidSect="006760C5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1B9C3" w14:textId="77777777" w:rsidR="00BE7C49" w:rsidRDefault="00BE7C49" w:rsidP="00114DBE">
      <w:pPr>
        <w:spacing w:after="0" w:line="240" w:lineRule="auto"/>
      </w:pPr>
      <w:r>
        <w:separator/>
      </w:r>
    </w:p>
  </w:endnote>
  <w:endnote w:type="continuationSeparator" w:id="0">
    <w:p w14:paraId="3CE63FEB" w14:textId="77777777" w:rsidR="00BE7C49" w:rsidRDefault="00BE7C49" w:rsidP="0011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0733C" w14:textId="77777777" w:rsidR="00BE7C49" w:rsidRDefault="00BE7C49" w:rsidP="00114DBE">
      <w:pPr>
        <w:spacing w:after="0" w:line="240" w:lineRule="auto"/>
      </w:pPr>
      <w:r>
        <w:separator/>
      </w:r>
    </w:p>
  </w:footnote>
  <w:footnote w:type="continuationSeparator" w:id="0">
    <w:p w14:paraId="11179C9D" w14:textId="77777777" w:rsidR="00BE7C49" w:rsidRDefault="00BE7C49" w:rsidP="00114D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0D"/>
    <w:rsid w:val="00014348"/>
    <w:rsid w:val="00016501"/>
    <w:rsid w:val="00090B78"/>
    <w:rsid w:val="000B49DF"/>
    <w:rsid w:val="00114DBE"/>
    <w:rsid w:val="0012574E"/>
    <w:rsid w:val="00154C54"/>
    <w:rsid w:val="001C5E24"/>
    <w:rsid w:val="001D1397"/>
    <w:rsid w:val="0026001E"/>
    <w:rsid w:val="002D63E5"/>
    <w:rsid w:val="003A30FE"/>
    <w:rsid w:val="003C648E"/>
    <w:rsid w:val="004B48C8"/>
    <w:rsid w:val="0067602E"/>
    <w:rsid w:val="006760C5"/>
    <w:rsid w:val="006D6202"/>
    <w:rsid w:val="007E7712"/>
    <w:rsid w:val="00831954"/>
    <w:rsid w:val="00837F86"/>
    <w:rsid w:val="0086452A"/>
    <w:rsid w:val="00876D0D"/>
    <w:rsid w:val="008D1F6F"/>
    <w:rsid w:val="00A34F98"/>
    <w:rsid w:val="00A40D7F"/>
    <w:rsid w:val="00A57087"/>
    <w:rsid w:val="00AB4FBA"/>
    <w:rsid w:val="00BE7C49"/>
    <w:rsid w:val="00C510EF"/>
    <w:rsid w:val="00CB6B24"/>
    <w:rsid w:val="00D86A7A"/>
    <w:rsid w:val="00EA70E1"/>
    <w:rsid w:val="00F43F4B"/>
    <w:rsid w:val="00F74F5F"/>
    <w:rsid w:val="00F97D12"/>
    <w:rsid w:val="00F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CC013"/>
  <w15:chartTrackingRefBased/>
  <w15:docId w15:val="{A966F5CB-0AAC-4C98-916F-052344FE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6D0D"/>
  </w:style>
  <w:style w:type="paragraph" w:styleId="Antrat1">
    <w:name w:val="heading 1"/>
    <w:basedOn w:val="prastasis"/>
    <w:next w:val="prastasis"/>
    <w:link w:val="Antrat1Diagrama"/>
    <w:uiPriority w:val="9"/>
    <w:qFormat/>
    <w:rsid w:val="0087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7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7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7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7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7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7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7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7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7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7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76D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76D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76D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76D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76D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76D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7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7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7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7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7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76D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76D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76D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7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76D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76D0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114DBE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14D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DBE"/>
  </w:style>
  <w:style w:type="paragraph" w:styleId="Porat">
    <w:name w:val="footer"/>
    <w:basedOn w:val="prastasis"/>
    <w:link w:val="PoratDiagrama"/>
    <w:uiPriority w:val="99"/>
    <w:unhideWhenUsed/>
    <w:rsid w:val="00114D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742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9</cp:revision>
  <dcterms:created xsi:type="dcterms:W3CDTF">2025-02-07T08:11:00Z</dcterms:created>
  <dcterms:modified xsi:type="dcterms:W3CDTF">2025-02-19T09:58:00Z</dcterms:modified>
</cp:coreProperties>
</file>