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6908" w14:textId="0FB8E8FF" w:rsidR="001E14B2" w:rsidRPr="004154B1" w:rsidRDefault="00B70727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1. </w:t>
      </w:r>
      <w:r w:rsidR="008C3542" w:rsidRPr="004154B1">
        <w:rPr>
          <w:rFonts w:ascii="Helvetica" w:hAnsi="Helvetica" w:cs="Arial"/>
          <w:sz w:val="20"/>
          <w:lang w:val="lt-LT"/>
        </w:rPr>
        <w:t xml:space="preserve">Junginys, kuris yra 2,2,4-trimetil-8-(6-metil-7-okso-6,7-dihidro-1H-pirolo[2,3-c]piridin-4-il)-6-(metilsulfonil)-2H-1,4-benzoksazin-3(4H)-onas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="008C3542" w:rsidRPr="004154B1">
        <w:rPr>
          <w:rFonts w:ascii="Helvetica" w:hAnsi="Helvetica" w:cs="Arial"/>
          <w:sz w:val="20"/>
          <w:lang w:val="lt-LT"/>
        </w:rPr>
        <w:t xml:space="preserve">, </w:t>
      </w:r>
      <w:r w:rsidR="006C7375" w:rsidRPr="004154B1">
        <w:rPr>
          <w:rFonts w:ascii="Helvetica" w:hAnsi="Helvetica" w:cs="Arial"/>
          <w:sz w:val="20"/>
          <w:lang w:val="lt-LT"/>
        </w:rPr>
        <w:t>skirti panaudoti taikant pacientui, kuriam to reikia,</w:t>
      </w:r>
      <w:r w:rsidR="008C3542" w:rsidRPr="004154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C3542" w:rsidRPr="004154B1">
        <w:rPr>
          <w:rFonts w:ascii="Helvetica" w:hAnsi="Helvetica" w:cs="Arial"/>
          <w:sz w:val="20"/>
          <w:lang w:val="lt-LT"/>
        </w:rPr>
        <w:t>mieloproliferacin</w:t>
      </w:r>
      <w:r w:rsidR="006C7375" w:rsidRPr="004154B1">
        <w:rPr>
          <w:rFonts w:ascii="Helvetica" w:hAnsi="Helvetica" w:cs="Arial"/>
          <w:sz w:val="20"/>
          <w:lang w:val="lt-LT"/>
        </w:rPr>
        <w:t>io</w:t>
      </w:r>
      <w:proofErr w:type="spellEnd"/>
      <w:r w:rsidR="006C7375" w:rsidRPr="004154B1">
        <w:rPr>
          <w:rFonts w:ascii="Helvetica" w:hAnsi="Helvetica" w:cs="Arial"/>
          <w:sz w:val="20"/>
          <w:lang w:val="lt-LT"/>
        </w:rPr>
        <w:t xml:space="preserve"> naviko</w:t>
      </w:r>
      <w:r w:rsidR="008C3542" w:rsidRPr="004154B1">
        <w:rPr>
          <w:rFonts w:ascii="Helvetica" w:hAnsi="Helvetica" w:cs="Arial"/>
          <w:sz w:val="20"/>
          <w:lang w:val="lt-LT"/>
        </w:rPr>
        <w:t xml:space="preserve"> gydymo </w:t>
      </w:r>
      <w:r w:rsidR="006C7375" w:rsidRPr="004154B1">
        <w:rPr>
          <w:rFonts w:ascii="Helvetica" w:hAnsi="Helvetica" w:cs="Arial"/>
          <w:sz w:val="20"/>
          <w:lang w:val="lt-LT"/>
        </w:rPr>
        <w:t>būdą</w:t>
      </w:r>
      <w:r w:rsidR="001E14B2" w:rsidRPr="004154B1">
        <w:rPr>
          <w:rFonts w:ascii="Helvetica" w:hAnsi="Helvetica" w:cs="Arial"/>
          <w:sz w:val="20"/>
          <w:lang w:val="lt-LT"/>
        </w:rPr>
        <w:t>, kur</w:t>
      </w:r>
      <w:r w:rsidR="008C3542" w:rsidRPr="004154B1">
        <w:rPr>
          <w:rFonts w:ascii="Helvetica" w:hAnsi="Helvetica" w:cs="Arial"/>
          <w:sz w:val="20"/>
          <w:lang w:val="lt-LT"/>
        </w:rPr>
        <w:t xml:space="preserve"> </w:t>
      </w:r>
      <w:r w:rsidR="001E14B2" w:rsidRPr="004154B1">
        <w:rPr>
          <w:rFonts w:ascii="Helvetica" w:hAnsi="Helvetica" w:cs="Arial"/>
          <w:sz w:val="20"/>
          <w:lang w:val="lt-LT"/>
        </w:rPr>
        <w:t>bū</w:t>
      </w:r>
      <w:r w:rsidR="008C3542" w:rsidRPr="004154B1">
        <w:rPr>
          <w:rFonts w:ascii="Helvetica" w:hAnsi="Helvetica" w:cs="Arial"/>
          <w:sz w:val="20"/>
          <w:lang w:val="lt-LT"/>
        </w:rPr>
        <w:t xml:space="preserve">das apima junginio </w:t>
      </w:r>
      <w:r w:rsidR="001E14B2" w:rsidRPr="004154B1">
        <w:rPr>
          <w:rFonts w:ascii="Helvetica" w:hAnsi="Helvetica" w:cs="Arial"/>
          <w:sz w:val="20"/>
          <w:lang w:val="lt-LT"/>
        </w:rPr>
        <w:t>arba farmaciniu požiūriu priimtinos jo druskos įvedimą</w:t>
      </w:r>
      <w:r w:rsidR="008C3542" w:rsidRPr="004154B1">
        <w:rPr>
          <w:rFonts w:ascii="Helvetica" w:hAnsi="Helvetica" w:cs="Arial"/>
          <w:sz w:val="20"/>
          <w:lang w:val="lt-LT"/>
        </w:rPr>
        <w:t xml:space="preserve"> minėtam pacientui; ir </w:t>
      </w:r>
      <w:proofErr w:type="spellStart"/>
      <w:r w:rsidR="008C3542" w:rsidRPr="004154B1">
        <w:rPr>
          <w:rFonts w:ascii="Helvetica" w:hAnsi="Helvetica" w:cs="Arial"/>
          <w:sz w:val="20"/>
          <w:lang w:val="lt-LT"/>
        </w:rPr>
        <w:t>ruksolitinib</w:t>
      </w:r>
      <w:r w:rsidR="001E14B2" w:rsidRPr="004154B1">
        <w:rPr>
          <w:rFonts w:ascii="Helvetica" w:hAnsi="Helvetica" w:cs="Arial"/>
          <w:sz w:val="20"/>
          <w:lang w:val="lt-LT"/>
        </w:rPr>
        <w:t>o</w:t>
      </w:r>
      <w:proofErr w:type="spellEnd"/>
      <w:r w:rsidR="008C3542"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 xml:space="preserve">arba farmaciniu požiūriu </w:t>
      </w:r>
      <w:r w:rsidR="001E14B2" w:rsidRPr="004154B1">
        <w:rPr>
          <w:rFonts w:ascii="Helvetica" w:hAnsi="Helvetica" w:cs="Arial"/>
          <w:sz w:val="20"/>
          <w:lang w:val="lt-LT"/>
        </w:rPr>
        <w:t>priimtinos jo druskos</w:t>
      </w:r>
      <w:r w:rsidR="008C3542" w:rsidRPr="004154B1">
        <w:rPr>
          <w:rFonts w:ascii="Helvetica" w:hAnsi="Helvetica" w:cs="Arial"/>
          <w:sz w:val="20"/>
          <w:lang w:val="lt-LT"/>
        </w:rPr>
        <w:t xml:space="preserve">; </w:t>
      </w:r>
    </w:p>
    <w:p w14:paraId="53ABEDDD" w14:textId="30AF8D15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mieloproliferacin</w:t>
      </w:r>
      <w:r w:rsidR="001E14B2" w:rsidRPr="004154B1">
        <w:rPr>
          <w:rFonts w:ascii="Helvetica" w:hAnsi="Helvetica" w:cs="Arial"/>
          <w:sz w:val="20"/>
          <w:lang w:val="lt-LT"/>
        </w:rPr>
        <w:t>is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1E14B2" w:rsidRPr="004154B1">
        <w:rPr>
          <w:rFonts w:ascii="Helvetica" w:hAnsi="Helvetica" w:cs="Arial"/>
          <w:sz w:val="20"/>
          <w:lang w:val="lt-LT"/>
        </w:rPr>
        <w:t>navikas</w:t>
      </w:r>
      <w:r w:rsidRPr="004154B1">
        <w:rPr>
          <w:rFonts w:ascii="Helvetica" w:hAnsi="Helvetica" w:cs="Arial"/>
          <w:sz w:val="20"/>
          <w:lang w:val="lt-LT"/>
        </w:rPr>
        <w:t xml:space="preserve"> yra pasirinkta</w:t>
      </w:r>
      <w:r w:rsidR="001E14B2" w:rsidRPr="004154B1">
        <w:rPr>
          <w:rFonts w:ascii="Helvetica" w:hAnsi="Helvetica" w:cs="Arial"/>
          <w:sz w:val="20"/>
          <w:lang w:val="lt-LT"/>
        </w:rPr>
        <w:t>s</w:t>
      </w:r>
      <w:r w:rsidRPr="004154B1">
        <w:rPr>
          <w:rFonts w:ascii="Helvetica" w:hAnsi="Helvetica" w:cs="Arial"/>
          <w:sz w:val="20"/>
          <w:lang w:val="lt-LT"/>
        </w:rPr>
        <w:t xml:space="preserve"> iš tikrosios </w:t>
      </w:r>
      <w:proofErr w:type="spellStart"/>
      <w:r w:rsidRPr="004154B1">
        <w:rPr>
          <w:rFonts w:ascii="Helvetica" w:hAnsi="Helvetica" w:cs="Arial"/>
          <w:sz w:val="20"/>
          <w:lang w:val="lt-LT"/>
        </w:rPr>
        <w:t>policitemijos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(PV), </w:t>
      </w:r>
      <w:r w:rsidR="001E14B2" w:rsidRPr="004154B1">
        <w:rPr>
          <w:rFonts w:ascii="Helvetica" w:hAnsi="Helvetica" w:cs="Arial"/>
          <w:sz w:val="20"/>
          <w:lang w:val="lt-LT"/>
        </w:rPr>
        <w:t>pirminės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154B1">
        <w:rPr>
          <w:rFonts w:ascii="Helvetica" w:hAnsi="Helvetica" w:cs="Arial"/>
          <w:sz w:val="20"/>
          <w:lang w:val="lt-LT"/>
        </w:rPr>
        <w:t>trombocitemijos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(ET), pirminės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mielofibrozės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mielogeninės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</w:t>
      </w:r>
      <w:r w:rsidR="001E14B2" w:rsidRPr="004154B1">
        <w:rPr>
          <w:rFonts w:ascii="Helvetica" w:hAnsi="Helvetica" w:cs="Arial"/>
          <w:sz w:val="20"/>
          <w:lang w:val="lt-LT"/>
        </w:rPr>
        <w:t>C</w:t>
      </w:r>
      <w:r w:rsidRPr="004154B1">
        <w:rPr>
          <w:rFonts w:ascii="Helvetica" w:hAnsi="Helvetica" w:cs="Arial"/>
          <w:sz w:val="20"/>
          <w:lang w:val="lt-LT"/>
        </w:rPr>
        <w:t xml:space="preserve">ML),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mielomonocitinės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(CMML), </w:t>
      </w:r>
      <w:proofErr w:type="spellStart"/>
      <w:r w:rsidRPr="004154B1">
        <w:rPr>
          <w:rFonts w:ascii="Helvetica" w:hAnsi="Helvetica" w:cs="Arial"/>
          <w:sz w:val="20"/>
          <w:lang w:val="lt-LT"/>
        </w:rPr>
        <w:t>hipereozinofilinio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sindromo (HES), sisteminės putliųjų ląstelių ligos (SMCD),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neutrofilinės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(CNL) ir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eozinofilinės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leukemijos.</w:t>
      </w:r>
    </w:p>
    <w:p w14:paraId="54A388B3" w14:textId="77777777" w:rsidR="001E14B2" w:rsidRPr="004154B1" w:rsidRDefault="001E14B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1E5655" w14:textId="77777777" w:rsidR="001E14B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2.</w:t>
      </w:r>
      <w:r w:rsidR="001E14B2" w:rsidRPr="004154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1E14B2" w:rsidRPr="004154B1">
        <w:rPr>
          <w:rFonts w:ascii="Helvetica" w:hAnsi="Helvetica" w:cs="Arial"/>
          <w:sz w:val="20"/>
          <w:lang w:val="lt-LT"/>
        </w:rPr>
        <w:t xml:space="preserve">skirti panaudoti taikant pacientui, kuriam to reikia, </w:t>
      </w:r>
      <w:proofErr w:type="spellStart"/>
      <w:r w:rsidR="001E14B2" w:rsidRPr="004154B1">
        <w:rPr>
          <w:rFonts w:ascii="Helvetica" w:hAnsi="Helvetica" w:cs="Arial"/>
          <w:sz w:val="20"/>
          <w:lang w:val="lt-LT"/>
        </w:rPr>
        <w:t>mieloproliferacinio</w:t>
      </w:r>
      <w:proofErr w:type="spellEnd"/>
      <w:r w:rsidR="001E14B2" w:rsidRPr="004154B1">
        <w:rPr>
          <w:rFonts w:ascii="Helvetica" w:hAnsi="Helvetica" w:cs="Arial"/>
          <w:sz w:val="20"/>
          <w:lang w:val="lt-LT"/>
        </w:rPr>
        <w:t xml:space="preserve"> naviko gydymo būdą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1E14B2" w:rsidRPr="004154B1">
        <w:rPr>
          <w:rFonts w:ascii="Helvetica" w:hAnsi="Helvetica" w:cs="Arial"/>
          <w:sz w:val="20"/>
          <w:lang w:val="lt-LT"/>
        </w:rPr>
        <w:t>kur būdas apima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1E14B2" w:rsidRPr="004154B1">
        <w:rPr>
          <w:rFonts w:ascii="Helvetica" w:hAnsi="Helvetica" w:cs="Arial"/>
          <w:sz w:val="20"/>
          <w:lang w:val="lt-LT"/>
        </w:rPr>
        <w:t>arba farmaciniu požiūriu priimtinos jo druskos įvedimą</w:t>
      </w:r>
      <w:r w:rsidRPr="004154B1">
        <w:rPr>
          <w:rFonts w:ascii="Helvetica" w:hAnsi="Helvetica" w:cs="Arial"/>
          <w:sz w:val="20"/>
          <w:lang w:val="lt-LT"/>
        </w:rPr>
        <w:t xml:space="preserve"> minėtam pacientui; ir jungin</w:t>
      </w:r>
      <w:r w:rsidR="001E14B2" w:rsidRPr="004154B1">
        <w:rPr>
          <w:rFonts w:ascii="Helvetica" w:hAnsi="Helvetica" w:cs="Arial"/>
          <w:sz w:val="20"/>
          <w:lang w:val="lt-LT"/>
        </w:rPr>
        <w:t>io</w:t>
      </w:r>
      <w:r w:rsidRPr="004154B1">
        <w:rPr>
          <w:rFonts w:ascii="Helvetica" w:hAnsi="Helvetica" w:cs="Arial"/>
          <w:sz w:val="20"/>
          <w:lang w:val="lt-LT"/>
        </w:rPr>
        <w:t xml:space="preserve">, kuris yra 2,2,4-trimetil-8-(6-metil-7-okso-6,7-dihidro-1H-pirolo[2,3-c]piridin-4-il)-6-(metilsulfonil)-2H-1,4-benzoksazin-3(4H)-onas, </w:t>
      </w:r>
      <w:r w:rsidR="001E14B2" w:rsidRPr="004154B1">
        <w:rPr>
          <w:rFonts w:ascii="Helvetica" w:hAnsi="Helvetica" w:cs="Arial"/>
          <w:sz w:val="20"/>
          <w:lang w:val="lt-LT"/>
        </w:rPr>
        <w:t>arba farmaciniu požiūriu priimtinos jo druskos</w:t>
      </w:r>
      <w:r w:rsidRPr="004154B1">
        <w:rPr>
          <w:rFonts w:ascii="Helvetica" w:hAnsi="Helvetica" w:cs="Arial"/>
          <w:sz w:val="20"/>
          <w:lang w:val="lt-LT"/>
        </w:rPr>
        <w:t xml:space="preserve">; </w:t>
      </w:r>
    </w:p>
    <w:p w14:paraId="7DDD59A6" w14:textId="4E6DA414" w:rsidR="008C3542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mieloproliferacinis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navikas yra pasirinktas iš tikrosios </w:t>
      </w:r>
      <w:proofErr w:type="spellStart"/>
      <w:r w:rsidRPr="004154B1">
        <w:rPr>
          <w:rFonts w:ascii="Helvetica" w:hAnsi="Helvetica" w:cs="Arial"/>
          <w:sz w:val="20"/>
          <w:lang w:val="lt-LT"/>
        </w:rPr>
        <w:t>policitemijos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(PV), pirminės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trombocitemijos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(ET), pirminės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mielofibrozės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mielogeninės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(CML),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mielomonocitinės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(CMML), </w:t>
      </w:r>
      <w:proofErr w:type="spellStart"/>
      <w:r w:rsidRPr="004154B1">
        <w:rPr>
          <w:rFonts w:ascii="Helvetica" w:hAnsi="Helvetica" w:cs="Arial"/>
          <w:sz w:val="20"/>
          <w:lang w:val="lt-LT"/>
        </w:rPr>
        <w:t>hipereozinofilinio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sindromo (HES), sisteminės putliųjų ląstelių ligos (SMCD),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neutrofilinės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(CNL) ir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eozinofilinės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</w:t>
      </w:r>
      <w:r w:rsidR="008C3542" w:rsidRPr="004154B1">
        <w:rPr>
          <w:rFonts w:ascii="Helvetica" w:hAnsi="Helvetica" w:cs="Arial"/>
          <w:sz w:val="20"/>
          <w:lang w:val="lt-LT"/>
        </w:rPr>
        <w:t>.</w:t>
      </w:r>
    </w:p>
    <w:p w14:paraId="5AA572E7" w14:textId="77777777" w:rsidR="00846EA2" w:rsidRPr="004154B1" w:rsidRDefault="00846EA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BC44C4" w14:textId="7E023D59" w:rsidR="004829BF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3.</w:t>
      </w:r>
      <w:r w:rsidR="00846EA2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Junginio, kuris yra 2,2,4-trimetil-8-(6-metil-7-okso-6,7-dihidro-1H-pirolo[2,3-c]piridin-4-il)-6-(metilsulfonil)-2H-1,4-benzoksazin-3(4H)-onas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ir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arba farmaciniu požiūriu priimtinos jo druskos</w:t>
      </w:r>
      <w:r w:rsidRPr="004154B1">
        <w:rPr>
          <w:rFonts w:ascii="Helvetica" w:hAnsi="Helvetica" w:cs="Arial"/>
          <w:sz w:val="20"/>
          <w:lang w:val="lt-LT"/>
        </w:rPr>
        <w:t xml:space="preserve"> derinys, </w:t>
      </w:r>
      <w:r w:rsidR="004829BF" w:rsidRPr="004154B1">
        <w:rPr>
          <w:rFonts w:ascii="Helvetica" w:hAnsi="Helvetica" w:cs="Arial"/>
          <w:sz w:val="20"/>
          <w:lang w:val="lt-LT"/>
        </w:rPr>
        <w:t>skirt</w:t>
      </w:r>
      <w:r w:rsidR="003162E9" w:rsidRPr="004154B1">
        <w:rPr>
          <w:rFonts w:ascii="Helvetica" w:hAnsi="Helvetica" w:cs="Arial"/>
          <w:sz w:val="20"/>
          <w:lang w:val="lt-LT"/>
        </w:rPr>
        <w:t>as</w:t>
      </w:r>
      <w:r w:rsidR="004829BF" w:rsidRPr="004154B1">
        <w:rPr>
          <w:rFonts w:ascii="Helvetica" w:hAnsi="Helvetica" w:cs="Arial"/>
          <w:sz w:val="20"/>
          <w:lang w:val="lt-LT"/>
        </w:rPr>
        <w:t xml:space="preserve"> panaudoti taikant pacientui, kuriam to reikia, </w:t>
      </w:r>
      <w:proofErr w:type="spellStart"/>
      <w:r w:rsidR="004829BF" w:rsidRPr="004154B1">
        <w:rPr>
          <w:rFonts w:ascii="Helvetica" w:hAnsi="Helvetica" w:cs="Arial"/>
          <w:sz w:val="20"/>
          <w:lang w:val="lt-LT"/>
        </w:rPr>
        <w:t>mieloproliferacinio</w:t>
      </w:r>
      <w:proofErr w:type="spellEnd"/>
      <w:r w:rsidR="004829BF" w:rsidRPr="004154B1">
        <w:rPr>
          <w:rFonts w:ascii="Helvetica" w:hAnsi="Helvetica" w:cs="Arial"/>
          <w:sz w:val="20"/>
          <w:lang w:val="lt-LT"/>
        </w:rPr>
        <w:t xml:space="preserve"> naviko gydymo būdą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kur būdas</w:t>
      </w:r>
      <w:r w:rsidRPr="004154B1">
        <w:rPr>
          <w:rFonts w:ascii="Helvetica" w:hAnsi="Helvetica" w:cs="Arial"/>
          <w:sz w:val="20"/>
          <w:lang w:val="lt-LT"/>
        </w:rPr>
        <w:t xml:space="preserve"> apima junginio </w:t>
      </w:r>
      <w:r w:rsidR="004829BF" w:rsidRPr="004154B1">
        <w:rPr>
          <w:rFonts w:ascii="Helvetica" w:hAnsi="Helvetica" w:cs="Arial"/>
          <w:sz w:val="20"/>
          <w:lang w:val="lt-LT"/>
        </w:rPr>
        <w:t>arba farmaciniu požiūriu priimtinos jo druskos</w:t>
      </w:r>
      <w:r w:rsidRPr="004154B1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1E14B2" w:rsidRPr="004154B1">
        <w:rPr>
          <w:rFonts w:ascii="Helvetica" w:hAnsi="Helvetica" w:cs="Arial"/>
          <w:sz w:val="20"/>
          <w:lang w:val="lt-LT"/>
        </w:rPr>
        <w:t>arba farmaciniu požiūriu priimtinos jo druskos įvedimą</w:t>
      </w:r>
      <w:r w:rsidRPr="004154B1">
        <w:rPr>
          <w:rFonts w:ascii="Helvetica" w:hAnsi="Helvetica" w:cs="Arial"/>
          <w:sz w:val="20"/>
          <w:lang w:val="lt-LT"/>
        </w:rPr>
        <w:t xml:space="preserve"> minėtam pacientui; </w:t>
      </w:r>
    </w:p>
    <w:p w14:paraId="0A00CD3A" w14:textId="5CB060E8" w:rsidR="008C3542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mieloproliferacinis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navikas yra pasirinktas iš tikrosios </w:t>
      </w:r>
      <w:proofErr w:type="spellStart"/>
      <w:r w:rsidRPr="004154B1">
        <w:rPr>
          <w:rFonts w:ascii="Helvetica" w:hAnsi="Helvetica" w:cs="Arial"/>
          <w:sz w:val="20"/>
          <w:lang w:val="lt-LT"/>
        </w:rPr>
        <w:t>policitemijos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(PV), pirminės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trombocitemijos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(ET), pirminės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mielofibrozės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mielogeninės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(CML),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mielomonocitinės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(CMML), </w:t>
      </w:r>
      <w:proofErr w:type="spellStart"/>
      <w:r w:rsidRPr="004154B1">
        <w:rPr>
          <w:rFonts w:ascii="Helvetica" w:hAnsi="Helvetica" w:cs="Arial"/>
          <w:sz w:val="20"/>
          <w:lang w:val="lt-LT"/>
        </w:rPr>
        <w:t>hipereozinofilinio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sindromo (HES), sisteminės putliųjų ląstelių ligos (SMCD),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neutrofilinės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 (CNL) ir lėtinės </w:t>
      </w:r>
      <w:proofErr w:type="spellStart"/>
      <w:r w:rsidRPr="004154B1">
        <w:rPr>
          <w:rFonts w:ascii="Helvetica" w:hAnsi="Helvetica" w:cs="Arial"/>
          <w:sz w:val="20"/>
          <w:lang w:val="lt-LT"/>
        </w:rPr>
        <w:t>eozinofilinės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leukemijos</w:t>
      </w:r>
      <w:r w:rsidR="008C3542" w:rsidRPr="004154B1">
        <w:rPr>
          <w:rFonts w:ascii="Helvetica" w:hAnsi="Helvetica" w:cs="Arial"/>
          <w:sz w:val="20"/>
          <w:lang w:val="lt-LT"/>
        </w:rPr>
        <w:t>.</w:t>
      </w:r>
    </w:p>
    <w:p w14:paraId="2A80992F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262887" w14:textId="18FDE13B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4.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1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2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3 punktą, 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fosfatas.</w:t>
      </w:r>
    </w:p>
    <w:p w14:paraId="1278A13E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0B9EDC" w14:textId="11EA5498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5.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1 arba 4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2 arba 4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</w:t>
      </w:r>
      <w:r w:rsidR="004829BF" w:rsidRPr="004154B1">
        <w:rPr>
          <w:rFonts w:ascii="Helvetica" w:hAnsi="Helvetica" w:cs="Arial"/>
          <w:sz w:val="20"/>
          <w:lang w:val="lt-LT"/>
        </w:rPr>
        <w:t>tas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3 arba 4 punktą, kur 2,2,4-trimetil-8-(6-metil-7-okso-6,7-dihidro-1H-pirolo[2,3-c]piridin-4-il)-6-(metilsulfonil)-2H-1,4-benzoksazin-3(4H)-onas yra kietos formos.</w:t>
      </w:r>
    </w:p>
    <w:p w14:paraId="787D0074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E5F3A7" w14:textId="66BE2B03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6.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kur kieta forma yra </w:t>
      </w:r>
      <w:proofErr w:type="spellStart"/>
      <w:r w:rsidRPr="004154B1">
        <w:rPr>
          <w:rFonts w:ascii="Helvetica" w:hAnsi="Helvetica" w:cs="Arial"/>
          <w:sz w:val="20"/>
          <w:lang w:val="lt-LT"/>
        </w:rPr>
        <w:t>anhidratas</w:t>
      </w:r>
      <w:proofErr w:type="spellEnd"/>
      <w:r w:rsidRPr="004154B1">
        <w:rPr>
          <w:rFonts w:ascii="Helvetica" w:hAnsi="Helvetica" w:cs="Arial"/>
          <w:sz w:val="20"/>
          <w:lang w:val="lt-LT"/>
        </w:rPr>
        <w:t>.</w:t>
      </w:r>
    </w:p>
    <w:p w14:paraId="111EFB52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FB3F37" w14:textId="7FEEE124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lastRenderedPageBreak/>
        <w:t>7.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kur kieta forma yra I forma.</w:t>
      </w:r>
    </w:p>
    <w:p w14:paraId="58E5FC1C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4E4131" w14:textId="36953498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8.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7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7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7 punktą, kur I forma turi vieną ar</w:t>
      </w:r>
      <w:r w:rsidR="004829BF" w:rsidRPr="004154B1">
        <w:rPr>
          <w:rFonts w:ascii="Helvetica" w:hAnsi="Helvetica" w:cs="Arial"/>
          <w:sz w:val="20"/>
          <w:lang w:val="lt-LT"/>
        </w:rPr>
        <w:t>ba</w:t>
      </w:r>
      <w:r w:rsidRPr="004154B1">
        <w:rPr>
          <w:rFonts w:ascii="Helvetica" w:hAnsi="Helvetica" w:cs="Arial"/>
          <w:sz w:val="20"/>
          <w:lang w:val="lt-LT"/>
        </w:rPr>
        <w:t xml:space="preserve"> daugiau būdingų XRPD smailių, išreikštų 2-teta, pasirinktų iš maždaug 8,7, maždaug 9,8, maždaug 11,6, maždaug 12,7, maždaug 14,7, maždaug 15,7, maždaug 20,0, maždaug 21,4, maždaug 23,3 ir maždaug 27,1 laipsnio.</w:t>
      </w:r>
    </w:p>
    <w:p w14:paraId="0C206847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D64D18" w14:textId="5C9CBAED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9.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5 punktą, </w:t>
      </w:r>
      <w:r w:rsidR="004829BF" w:rsidRPr="004154B1">
        <w:rPr>
          <w:rFonts w:ascii="Helvetica" w:hAnsi="Helvetica" w:cs="Arial"/>
          <w:sz w:val="20"/>
          <w:lang w:val="lt-LT"/>
        </w:rPr>
        <w:t>kur kieta forma yra II forma</w:t>
      </w:r>
      <w:r w:rsidRPr="004154B1">
        <w:rPr>
          <w:rFonts w:ascii="Helvetica" w:hAnsi="Helvetica" w:cs="Arial"/>
          <w:sz w:val="20"/>
          <w:lang w:val="lt-LT"/>
        </w:rPr>
        <w:t>.</w:t>
      </w:r>
    </w:p>
    <w:p w14:paraId="5C9FF3F8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A695C4" w14:textId="1E6EF8D9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10.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9 punktą,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9 punktą,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pagal 9 punktą, kur II forma turi vieną ar</w:t>
      </w:r>
      <w:r w:rsidR="004829BF" w:rsidRPr="004154B1">
        <w:rPr>
          <w:rFonts w:ascii="Helvetica" w:hAnsi="Helvetica" w:cs="Arial"/>
          <w:sz w:val="20"/>
          <w:lang w:val="lt-LT"/>
        </w:rPr>
        <w:t>ba</w:t>
      </w:r>
      <w:r w:rsidRPr="004154B1">
        <w:rPr>
          <w:rFonts w:ascii="Helvetica" w:hAnsi="Helvetica" w:cs="Arial"/>
          <w:sz w:val="20"/>
          <w:lang w:val="lt-LT"/>
        </w:rPr>
        <w:t xml:space="preserve"> daugiau būdingų XRPD smailių, išreikštų 2-teta, pasirinktų iš maždaug 6,7, maždaug 9,5, maždaug 10,5, maždaug 14,8, maždaug 16,2, maždaug 17,0, maždaug 18,8 ir maždaug 19,3 laipsnių.</w:t>
      </w:r>
    </w:p>
    <w:p w14:paraId="0C760835" w14:textId="77777777" w:rsidR="004829BF" w:rsidRPr="004154B1" w:rsidRDefault="004829B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930092" w14:textId="77777777" w:rsidR="004829BF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11.</w:t>
      </w:r>
      <w:r w:rsidR="004829B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pagal bet kurį</w:t>
      </w:r>
      <w:r w:rsidR="004829BF" w:rsidRPr="004154B1">
        <w:rPr>
          <w:rFonts w:ascii="Helvetica" w:hAnsi="Helvetica" w:cs="Arial"/>
          <w:sz w:val="20"/>
          <w:lang w:val="lt-LT"/>
        </w:rPr>
        <w:t xml:space="preserve"> vieną</w:t>
      </w:r>
      <w:r w:rsidRPr="004154B1">
        <w:rPr>
          <w:rFonts w:ascii="Helvetica" w:hAnsi="Helvetica" w:cs="Arial"/>
          <w:sz w:val="20"/>
          <w:lang w:val="lt-LT"/>
        </w:rPr>
        <w:t xml:space="preserve"> iš 1 ir 4–10 punktų,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2 ir 4–10 punktų,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4829B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3–10 punktų, 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ruksolitinibo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arba farmaciniu požiūriu priimtinos jo druskos</w:t>
      </w:r>
      <w:r w:rsidRPr="004154B1">
        <w:rPr>
          <w:rFonts w:ascii="Helvetica" w:hAnsi="Helvetica" w:cs="Arial"/>
          <w:sz w:val="20"/>
          <w:lang w:val="lt-LT"/>
        </w:rPr>
        <w:t xml:space="preserve"> dozė yra: </w:t>
      </w:r>
    </w:p>
    <w:p w14:paraId="4CAA7F13" w14:textId="3F2A51DA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(a) nuo maždaug 5 mg per parą iki maždaug 60 mg per parą; arba</w:t>
      </w:r>
    </w:p>
    <w:p w14:paraId="43D9E39A" w14:textId="5715A63F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(b) </w:t>
      </w:r>
      <w:r w:rsidR="00F120AF" w:rsidRPr="004154B1">
        <w:rPr>
          <w:rFonts w:ascii="Helvetica" w:hAnsi="Helvetica" w:cs="Arial"/>
          <w:sz w:val="20"/>
          <w:lang w:val="lt-LT"/>
        </w:rPr>
        <w:t xml:space="preserve">nuo </w:t>
      </w:r>
      <w:r w:rsidRPr="004154B1">
        <w:rPr>
          <w:rFonts w:ascii="Helvetica" w:hAnsi="Helvetica" w:cs="Arial"/>
          <w:sz w:val="20"/>
          <w:lang w:val="lt-LT"/>
        </w:rPr>
        <w:t>maždaug 2,5 mg du kartus per parą iki maždaug 30 mg du kartus per parą.</w:t>
      </w:r>
    </w:p>
    <w:p w14:paraId="76A58AEC" w14:textId="77777777" w:rsidR="00F120AF" w:rsidRPr="004154B1" w:rsidRDefault="00F120A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2ACDD3" w14:textId="25A32B2D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12.</w:t>
      </w:r>
      <w:r w:rsidR="00F120A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1 ir 4–11 punktų,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2 ir 4–11 punktų,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F120AF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3–11 punktų, kur 2,2,4-trimetil-8-(6-metil-7-okso-6,7-dihidro-1H-pirolo[2,3-c]piridin-4-il)-6-(metilsulfonil)-2H-1,4-benzoksazin-3(4H)-ono </w:t>
      </w:r>
      <w:r w:rsidR="004829BF" w:rsidRPr="004154B1">
        <w:rPr>
          <w:rFonts w:ascii="Helvetica" w:hAnsi="Helvetica" w:cs="Arial"/>
          <w:sz w:val="20"/>
          <w:lang w:val="lt-LT"/>
        </w:rPr>
        <w:t>arba farmaciniu požiūriu priimtinos jo druskos</w:t>
      </w:r>
      <w:r w:rsidRPr="004154B1">
        <w:rPr>
          <w:rFonts w:ascii="Helvetica" w:hAnsi="Helvetica" w:cs="Arial"/>
          <w:sz w:val="20"/>
          <w:lang w:val="lt-LT"/>
        </w:rPr>
        <w:t xml:space="preserve"> dozė yra:</w:t>
      </w:r>
    </w:p>
    <w:p w14:paraId="5B26E414" w14:textId="40D74616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(a) </w:t>
      </w:r>
      <w:r w:rsidR="00F120AF" w:rsidRPr="004154B1">
        <w:rPr>
          <w:rFonts w:ascii="Helvetica" w:hAnsi="Helvetica" w:cs="Arial"/>
          <w:sz w:val="20"/>
          <w:lang w:val="lt-LT"/>
        </w:rPr>
        <w:t xml:space="preserve">nuo </w:t>
      </w:r>
      <w:r w:rsidRPr="004154B1">
        <w:rPr>
          <w:rFonts w:ascii="Helvetica" w:hAnsi="Helvetica" w:cs="Arial"/>
          <w:sz w:val="20"/>
          <w:lang w:val="lt-LT"/>
        </w:rPr>
        <w:t>maždaug 2 mg per parą iki maždaug 20 mg per parą;</w:t>
      </w:r>
    </w:p>
    <w:p w14:paraId="7E08B797" w14:textId="050E64A0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(b) </w:t>
      </w:r>
      <w:r w:rsidR="00F120AF" w:rsidRPr="004154B1">
        <w:rPr>
          <w:rFonts w:ascii="Helvetica" w:hAnsi="Helvetica" w:cs="Arial"/>
          <w:sz w:val="20"/>
          <w:lang w:val="lt-LT"/>
        </w:rPr>
        <w:t xml:space="preserve">nuo </w:t>
      </w:r>
      <w:r w:rsidRPr="004154B1">
        <w:rPr>
          <w:rFonts w:ascii="Helvetica" w:hAnsi="Helvetica" w:cs="Arial"/>
          <w:sz w:val="20"/>
          <w:lang w:val="lt-LT"/>
        </w:rPr>
        <w:t>maždaug 2 mg per parą iki maždaug 18 mg per parą;</w:t>
      </w:r>
    </w:p>
    <w:p w14:paraId="2F782460" w14:textId="1436FFA8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(c) </w:t>
      </w:r>
      <w:r w:rsidR="00F120AF" w:rsidRPr="004154B1">
        <w:rPr>
          <w:rFonts w:ascii="Helvetica" w:hAnsi="Helvetica" w:cs="Arial"/>
          <w:sz w:val="20"/>
          <w:lang w:val="lt-LT"/>
        </w:rPr>
        <w:t xml:space="preserve">nuo </w:t>
      </w:r>
      <w:r w:rsidRPr="004154B1">
        <w:rPr>
          <w:rFonts w:ascii="Helvetica" w:hAnsi="Helvetica" w:cs="Arial"/>
          <w:sz w:val="20"/>
          <w:lang w:val="lt-LT"/>
        </w:rPr>
        <w:t>maždaug 2 mg per parą iki maždaug 12 mg per parą;</w:t>
      </w:r>
    </w:p>
    <w:p w14:paraId="2F184EEB" w14:textId="1CFA917B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(d) </w:t>
      </w:r>
      <w:r w:rsidR="00F120AF" w:rsidRPr="004154B1">
        <w:rPr>
          <w:rFonts w:ascii="Helvetica" w:hAnsi="Helvetica" w:cs="Arial"/>
          <w:sz w:val="20"/>
          <w:lang w:val="lt-LT"/>
        </w:rPr>
        <w:t xml:space="preserve">nuo </w:t>
      </w:r>
      <w:r w:rsidRPr="004154B1">
        <w:rPr>
          <w:rFonts w:ascii="Helvetica" w:hAnsi="Helvetica" w:cs="Arial"/>
          <w:sz w:val="20"/>
          <w:lang w:val="lt-LT"/>
        </w:rPr>
        <w:t>maždaug 4 mg per parą iki maždaug 8 mg per parą;</w:t>
      </w:r>
    </w:p>
    <w:p w14:paraId="52985141" w14:textId="715C1B7F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(e)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2,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4,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6,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8,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10,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12,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14,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16,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18 arba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20 mg/dieną, skaičiuojant laisvosios bazės pagrindu;</w:t>
      </w:r>
    </w:p>
    <w:p w14:paraId="38721A2F" w14:textId="5D04B829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(f)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2 mg per dieną, skaičiuojant laisvosios bazės pagrindu;</w:t>
      </w:r>
    </w:p>
    <w:p w14:paraId="0C634250" w14:textId="13324F3A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(g)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4 mg/dieną, skaičiuojant laisvosios bazės pagrindu;</w:t>
      </w:r>
    </w:p>
    <w:p w14:paraId="56F3A43E" w14:textId="4589B36E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(h)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6 mg/dieną, skaičiuojant laisvosios bazės pagrindu;</w:t>
      </w:r>
    </w:p>
    <w:p w14:paraId="5BF0CCAB" w14:textId="1DF83EAF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(i)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8 mg per parą, skaičiuojant laisvosios bazės pagrindu;</w:t>
      </w:r>
    </w:p>
    <w:p w14:paraId="3FE89669" w14:textId="4F828639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(j)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10 mg per dieną, skaičiuojant laisvosios bazės pagrindu; arba</w:t>
      </w:r>
    </w:p>
    <w:p w14:paraId="58DF0F43" w14:textId="61622AF7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(k) </w:t>
      </w:r>
      <w:r w:rsidR="00F120AF" w:rsidRPr="004154B1">
        <w:rPr>
          <w:rFonts w:ascii="Helvetica" w:hAnsi="Helvetica" w:cs="Arial"/>
          <w:sz w:val="20"/>
          <w:lang w:val="lt-LT"/>
        </w:rPr>
        <w:t>maždaug</w:t>
      </w:r>
      <w:r w:rsidRPr="004154B1">
        <w:rPr>
          <w:rFonts w:ascii="Helvetica" w:hAnsi="Helvetica" w:cs="Arial"/>
          <w:sz w:val="20"/>
          <w:lang w:val="lt-LT"/>
        </w:rPr>
        <w:t xml:space="preserve"> 12 mg per parą, skaičiuojant laisvosios bazės pagrindu.</w:t>
      </w:r>
    </w:p>
    <w:p w14:paraId="27E9784D" w14:textId="77777777" w:rsidR="00F120AF" w:rsidRPr="004154B1" w:rsidRDefault="00F120AF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11C2C0" w14:textId="54F26363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13.</w:t>
      </w:r>
      <w:r w:rsidR="00F120AF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1 ir 4–12 punktų,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2 ir 4–12 punktų,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3162E9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3–12 punktų, kur:</w:t>
      </w:r>
    </w:p>
    <w:p w14:paraId="6B69118E" w14:textId="528539B6" w:rsidR="008C3542" w:rsidRPr="004154B1" w:rsidRDefault="003162E9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(</w:t>
      </w:r>
      <w:r w:rsidR="008C3542" w:rsidRPr="004154B1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="008C3542" w:rsidRPr="004154B1">
        <w:rPr>
          <w:rFonts w:ascii="Helvetica" w:hAnsi="Helvetica" w:cs="Arial"/>
          <w:sz w:val="20"/>
          <w:lang w:val="lt-LT"/>
        </w:rPr>
        <w:t>mieloproliferacin</w:t>
      </w:r>
      <w:r w:rsidRPr="004154B1">
        <w:rPr>
          <w:rFonts w:ascii="Helvetica" w:hAnsi="Helvetica" w:cs="Arial"/>
          <w:sz w:val="20"/>
          <w:lang w:val="lt-LT"/>
        </w:rPr>
        <w:t>is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navikas</w:t>
      </w:r>
      <w:r w:rsidR="008C3542" w:rsidRPr="004154B1">
        <w:rPr>
          <w:rFonts w:ascii="Helvetica" w:hAnsi="Helvetica" w:cs="Arial"/>
          <w:sz w:val="20"/>
          <w:lang w:val="lt-LT"/>
        </w:rPr>
        <w:t xml:space="preserve"> yra </w:t>
      </w:r>
      <w:r w:rsidRPr="004154B1">
        <w:rPr>
          <w:rFonts w:ascii="Helvetica" w:hAnsi="Helvetica" w:cs="Arial"/>
          <w:sz w:val="20"/>
          <w:lang w:val="lt-LT"/>
        </w:rPr>
        <w:t xml:space="preserve">tikroji </w:t>
      </w:r>
      <w:proofErr w:type="spellStart"/>
      <w:r w:rsidR="008C3542" w:rsidRPr="004154B1">
        <w:rPr>
          <w:rFonts w:ascii="Helvetica" w:hAnsi="Helvetica" w:cs="Arial"/>
          <w:sz w:val="20"/>
          <w:lang w:val="lt-LT"/>
        </w:rPr>
        <w:t>policitemija</w:t>
      </w:r>
      <w:proofErr w:type="spellEnd"/>
      <w:r w:rsidR="008C3542" w:rsidRPr="004154B1">
        <w:rPr>
          <w:rFonts w:ascii="Helvetica" w:hAnsi="Helvetica" w:cs="Arial"/>
          <w:sz w:val="20"/>
          <w:lang w:val="lt-LT"/>
        </w:rPr>
        <w:t xml:space="preserve"> (PV);</w:t>
      </w:r>
    </w:p>
    <w:p w14:paraId="38D376E3" w14:textId="3F53C451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="003162E9" w:rsidRPr="004154B1">
        <w:rPr>
          <w:rFonts w:ascii="Helvetica" w:hAnsi="Helvetica" w:cs="Arial"/>
          <w:sz w:val="20"/>
          <w:lang w:val="lt-LT"/>
        </w:rPr>
        <w:t>mieloproliferacinis</w:t>
      </w:r>
      <w:proofErr w:type="spellEnd"/>
      <w:r w:rsidR="003162E9" w:rsidRPr="004154B1">
        <w:rPr>
          <w:rFonts w:ascii="Helvetica" w:hAnsi="Helvetica" w:cs="Arial"/>
          <w:sz w:val="20"/>
          <w:lang w:val="lt-LT"/>
        </w:rPr>
        <w:t xml:space="preserve"> navikas</w:t>
      </w:r>
      <w:r w:rsidRPr="004154B1">
        <w:rPr>
          <w:rFonts w:ascii="Helvetica" w:hAnsi="Helvetica" w:cs="Arial"/>
          <w:sz w:val="20"/>
          <w:lang w:val="lt-LT"/>
        </w:rPr>
        <w:t xml:space="preserve"> yra </w:t>
      </w:r>
      <w:r w:rsidR="003162E9" w:rsidRPr="004154B1">
        <w:rPr>
          <w:rFonts w:ascii="Helvetica" w:hAnsi="Helvetica" w:cs="Arial"/>
          <w:sz w:val="20"/>
          <w:lang w:val="lt-LT"/>
        </w:rPr>
        <w:t xml:space="preserve">pirminė </w:t>
      </w:r>
      <w:proofErr w:type="spellStart"/>
      <w:r w:rsidRPr="004154B1">
        <w:rPr>
          <w:rFonts w:ascii="Helvetica" w:hAnsi="Helvetica" w:cs="Arial"/>
          <w:sz w:val="20"/>
          <w:lang w:val="lt-LT"/>
        </w:rPr>
        <w:t>trombocitemija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(ET); arba</w:t>
      </w:r>
    </w:p>
    <w:p w14:paraId="2384B783" w14:textId="13D7C123" w:rsidR="008C3542" w:rsidRPr="004154B1" w:rsidRDefault="008C3542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 xml:space="preserve">(c) </w:t>
      </w:r>
      <w:proofErr w:type="spellStart"/>
      <w:r w:rsidR="003162E9" w:rsidRPr="004154B1">
        <w:rPr>
          <w:rFonts w:ascii="Helvetica" w:hAnsi="Helvetica" w:cs="Arial"/>
          <w:sz w:val="20"/>
          <w:lang w:val="lt-LT"/>
        </w:rPr>
        <w:t>mieloproliferacinis</w:t>
      </w:r>
      <w:proofErr w:type="spellEnd"/>
      <w:r w:rsidR="003162E9" w:rsidRPr="004154B1">
        <w:rPr>
          <w:rFonts w:ascii="Helvetica" w:hAnsi="Helvetica" w:cs="Arial"/>
          <w:sz w:val="20"/>
          <w:lang w:val="lt-LT"/>
        </w:rPr>
        <w:t xml:space="preserve"> navikas</w:t>
      </w:r>
      <w:r w:rsidRPr="004154B1">
        <w:rPr>
          <w:rFonts w:ascii="Helvetica" w:hAnsi="Helvetica" w:cs="Arial"/>
          <w:sz w:val="20"/>
          <w:lang w:val="lt-LT"/>
        </w:rPr>
        <w:t xml:space="preserve"> yra pirminė </w:t>
      </w:r>
      <w:proofErr w:type="spellStart"/>
      <w:r w:rsidRPr="004154B1">
        <w:rPr>
          <w:rFonts w:ascii="Helvetica" w:hAnsi="Helvetica" w:cs="Arial"/>
          <w:sz w:val="20"/>
          <w:lang w:val="lt-LT"/>
        </w:rPr>
        <w:t>mielofibrozė</w:t>
      </w:r>
      <w:proofErr w:type="spellEnd"/>
      <w:r w:rsidRPr="004154B1">
        <w:rPr>
          <w:rFonts w:ascii="Helvetica" w:hAnsi="Helvetica" w:cs="Arial"/>
          <w:sz w:val="20"/>
          <w:lang w:val="lt-LT"/>
        </w:rPr>
        <w:t>.</w:t>
      </w:r>
    </w:p>
    <w:p w14:paraId="720CF395" w14:textId="77777777" w:rsidR="003162E9" w:rsidRPr="004154B1" w:rsidRDefault="003162E9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17CC26" w14:textId="22E7C108" w:rsidR="008C3542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14.</w:t>
      </w:r>
      <w:r w:rsidR="003162E9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1 ir 4–13 punktų,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2 ir 4–13 punktų,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3162E9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3–13 punktų, 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 ir 2,2,4-trimetil-8-(6-metil-7-okso-6,7-dihidro-1H-pirolo[2,3-c]piridin-4-il)-6-(metilsulfonil)-2H-1,4-benzoksazin-3(4H)-onas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 yra </w:t>
      </w:r>
      <w:r w:rsidR="003162E9" w:rsidRPr="004154B1">
        <w:rPr>
          <w:rFonts w:ascii="Helvetica" w:hAnsi="Helvetica" w:cs="Arial"/>
          <w:sz w:val="20"/>
          <w:lang w:val="lt-LT"/>
        </w:rPr>
        <w:t>vartojami</w:t>
      </w:r>
      <w:r w:rsidRPr="004154B1">
        <w:rPr>
          <w:rFonts w:ascii="Helvetica" w:hAnsi="Helvetica" w:cs="Arial"/>
          <w:sz w:val="20"/>
          <w:lang w:val="lt-LT"/>
        </w:rPr>
        <w:t xml:space="preserve"> per burną.</w:t>
      </w:r>
    </w:p>
    <w:p w14:paraId="419AA6BB" w14:textId="77777777" w:rsidR="003162E9" w:rsidRPr="004154B1" w:rsidRDefault="003162E9" w:rsidP="004154B1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89278AD" w14:textId="38117C65" w:rsidR="000E3CDA" w:rsidRPr="004154B1" w:rsidRDefault="008C3542" w:rsidP="004154B1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154B1">
        <w:rPr>
          <w:rFonts w:ascii="Helvetica" w:hAnsi="Helvetica" w:cs="Arial"/>
          <w:sz w:val="20"/>
          <w:lang w:val="lt-LT"/>
        </w:rPr>
        <w:t>15.</w:t>
      </w:r>
      <w:r w:rsidR="003162E9" w:rsidRPr="004154B1">
        <w:rPr>
          <w:rFonts w:ascii="Helvetica" w:hAnsi="Helvetica" w:cs="Arial"/>
          <w:sz w:val="20"/>
          <w:lang w:val="lt-LT"/>
        </w:rPr>
        <w:t xml:space="preserve"> </w:t>
      </w:r>
      <w:r w:rsidRPr="004154B1">
        <w:rPr>
          <w:rFonts w:ascii="Helvetica" w:hAnsi="Helvetica" w:cs="Arial"/>
          <w:sz w:val="20"/>
          <w:lang w:val="lt-LT"/>
        </w:rPr>
        <w:t xml:space="preserve">Junginys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1 ir 4–14 punktų, arba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, </w:t>
      </w:r>
      <w:r w:rsidR="004829BF" w:rsidRPr="004154B1">
        <w:rPr>
          <w:rFonts w:ascii="Helvetica" w:hAnsi="Helvetica" w:cs="Arial"/>
          <w:sz w:val="20"/>
          <w:lang w:val="lt-LT"/>
        </w:rPr>
        <w:t>skirti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2 ir 4–14 punktų, arba derinys, </w:t>
      </w:r>
      <w:r w:rsidR="006C7375" w:rsidRPr="004154B1">
        <w:rPr>
          <w:rFonts w:ascii="Helvetica" w:hAnsi="Helvetica" w:cs="Arial"/>
          <w:sz w:val="20"/>
          <w:lang w:val="lt-LT"/>
        </w:rPr>
        <w:t>skirt</w:t>
      </w:r>
      <w:r w:rsidR="003162E9" w:rsidRPr="004154B1">
        <w:rPr>
          <w:rFonts w:ascii="Helvetica" w:hAnsi="Helvetica" w:cs="Arial"/>
          <w:sz w:val="20"/>
          <w:lang w:val="lt-LT"/>
        </w:rPr>
        <w:t>as</w:t>
      </w:r>
      <w:r w:rsidR="006C7375" w:rsidRPr="004154B1">
        <w:rPr>
          <w:rFonts w:ascii="Helvetica" w:hAnsi="Helvetica" w:cs="Arial"/>
          <w:sz w:val="20"/>
          <w:lang w:val="lt-LT"/>
        </w:rPr>
        <w:t xml:space="preserve"> panaudoti</w:t>
      </w:r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4829BF" w:rsidRPr="004154B1">
        <w:rPr>
          <w:rFonts w:ascii="Helvetica" w:hAnsi="Helvetica" w:cs="Arial"/>
          <w:sz w:val="20"/>
          <w:lang w:val="lt-LT"/>
        </w:rPr>
        <w:t>pagal bet kurį vieną iš</w:t>
      </w:r>
      <w:r w:rsidRPr="004154B1">
        <w:rPr>
          <w:rFonts w:ascii="Helvetica" w:hAnsi="Helvetica" w:cs="Arial"/>
          <w:sz w:val="20"/>
          <w:lang w:val="lt-LT"/>
        </w:rPr>
        <w:t xml:space="preserve"> 3–14 punktų, kur </w:t>
      </w:r>
      <w:proofErr w:type="spellStart"/>
      <w:r w:rsidRPr="004154B1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4154B1">
        <w:rPr>
          <w:rFonts w:ascii="Helvetica" w:hAnsi="Helvetica" w:cs="Arial"/>
          <w:sz w:val="20"/>
          <w:lang w:val="lt-LT"/>
        </w:rPr>
        <w:t xml:space="preserve">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 ir 2,2,4-trimetil-8-(6-metil-7-okso-6,7-dihidro-1H-pirolo[2,3-c]piridin-4-il)-6-(metilsulfonil)-2H-1,4-benzoksazin-3(4H)-onas </w:t>
      </w:r>
      <w:r w:rsidR="006C7375" w:rsidRPr="004154B1">
        <w:rPr>
          <w:rFonts w:ascii="Helvetica" w:hAnsi="Helvetica" w:cs="Arial"/>
          <w:sz w:val="20"/>
          <w:lang w:val="lt-LT"/>
        </w:rPr>
        <w:t>arba farmaciniu požiūriu priimtina jo druska</w:t>
      </w:r>
      <w:r w:rsidRPr="004154B1">
        <w:rPr>
          <w:rFonts w:ascii="Helvetica" w:hAnsi="Helvetica" w:cs="Arial"/>
          <w:sz w:val="20"/>
          <w:lang w:val="lt-LT"/>
        </w:rPr>
        <w:t xml:space="preserve"> yra </w:t>
      </w:r>
      <w:r w:rsidR="003162E9" w:rsidRPr="004154B1">
        <w:rPr>
          <w:rFonts w:ascii="Helvetica" w:hAnsi="Helvetica" w:cs="Arial"/>
          <w:sz w:val="20"/>
          <w:lang w:val="lt-LT"/>
        </w:rPr>
        <w:t>vartojami</w:t>
      </w:r>
      <w:r w:rsidRPr="004154B1">
        <w:rPr>
          <w:rFonts w:ascii="Helvetica" w:hAnsi="Helvetica" w:cs="Arial"/>
          <w:sz w:val="20"/>
          <w:lang w:val="lt-LT"/>
        </w:rPr>
        <w:t xml:space="preserve"> vienu metu arba nuosekliai.</w:t>
      </w:r>
    </w:p>
    <w:sectPr w:rsidR="000E3CDA" w:rsidRPr="004154B1" w:rsidSect="004154B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4D5E" w14:textId="77777777" w:rsidR="00E23520" w:rsidRDefault="00E23520" w:rsidP="007B0A41">
      <w:pPr>
        <w:spacing w:after="0" w:line="240" w:lineRule="auto"/>
      </w:pPr>
      <w:r>
        <w:separator/>
      </w:r>
    </w:p>
  </w:endnote>
  <w:endnote w:type="continuationSeparator" w:id="0">
    <w:p w14:paraId="771CA21A" w14:textId="77777777" w:rsidR="00E23520" w:rsidRDefault="00E2352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0524" w14:textId="77777777" w:rsidR="00E23520" w:rsidRDefault="00E23520" w:rsidP="007B0A41">
      <w:pPr>
        <w:spacing w:after="0" w:line="240" w:lineRule="auto"/>
      </w:pPr>
      <w:r>
        <w:separator/>
      </w:r>
    </w:p>
  </w:footnote>
  <w:footnote w:type="continuationSeparator" w:id="0">
    <w:p w14:paraId="08266126" w14:textId="77777777" w:rsidR="00E23520" w:rsidRDefault="00E2352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E14B2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2E9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54B1"/>
    <w:rsid w:val="00416928"/>
    <w:rsid w:val="00431822"/>
    <w:rsid w:val="00434733"/>
    <w:rsid w:val="00443029"/>
    <w:rsid w:val="0044384C"/>
    <w:rsid w:val="004608B1"/>
    <w:rsid w:val="00473E17"/>
    <w:rsid w:val="00480D82"/>
    <w:rsid w:val="004829BF"/>
    <w:rsid w:val="004922D2"/>
    <w:rsid w:val="004A11D8"/>
    <w:rsid w:val="004C1469"/>
    <w:rsid w:val="004D4343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12F6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50F31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C7375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6EA2"/>
    <w:rsid w:val="00847DA0"/>
    <w:rsid w:val="00864E7D"/>
    <w:rsid w:val="00886FF4"/>
    <w:rsid w:val="008A7B6E"/>
    <w:rsid w:val="008B41AC"/>
    <w:rsid w:val="008C3542"/>
    <w:rsid w:val="008C60D6"/>
    <w:rsid w:val="008E0506"/>
    <w:rsid w:val="008E0E9E"/>
    <w:rsid w:val="008E1E25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35687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66469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46CC1"/>
    <w:rsid w:val="00D54A23"/>
    <w:rsid w:val="00D55A30"/>
    <w:rsid w:val="00D56D60"/>
    <w:rsid w:val="00D83DAA"/>
    <w:rsid w:val="00DA4CB2"/>
    <w:rsid w:val="00DB375D"/>
    <w:rsid w:val="00DD1AA0"/>
    <w:rsid w:val="00DE3C9B"/>
    <w:rsid w:val="00DF163B"/>
    <w:rsid w:val="00E1104B"/>
    <w:rsid w:val="00E1543E"/>
    <w:rsid w:val="00E1780E"/>
    <w:rsid w:val="00E23520"/>
    <w:rsid w:val="00E23795"/>
    <w:rsid w:val="00E2583B"/>
    <w:rsid w:val="00E27C4C"/>
    <w:rsid w:val="00E321B7"/>
    <w:rsid w:val="00E33FCB"/>
    <w:rsid w:val="00E551C5"/>
    <w:rsid w:val="00E91AE0"/>
    <w:rsid w:val="00EA4BD0"/>
    <w:rsid w:val="00EB1EE5"/>
    <w:rsid w:val="00EB6F08"/>
    <w:rsid w:val="00EC2BD7"/>
    <w:rsid w:val="00ED04B0"/>
    <w:rsid w:val="00F01CE8"/>
    <w:rsid w:val="00F120AF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714F9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D6701FCC-536E-4376-8F82-2E0D593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7441</Characters>
  <Application>Microsoft Office Word</Application>
  <DocSecurity>0</DocSecurity>
  <Lines>114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2025-11-11T15:41:00Z</dcterms:created>
  <dcterms:modified xsi:type="dcterms:W3CDTF">2025-12-08T06:27:00Z</dcterms:modified>
</cp:coreProperties>
</file>