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1282" w14:textId="5DCC9C23" w:rsidR="00271110" w:rsidRPr="00FE03F6" w:rsidRDefault="00BA2E9F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271110"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="00271110" w:rsidRPr="00FE03F6">
        <w:rPr>
          <w:rFonts w:ascii="Helvetica" w:hAnsi="Helvetica" w:cs="Arial"/>
          <w:sz w:val="20"/>
          <w:szCs w:val="24"/>
          <w:lang w:val="lt-LT"/>
        </w:rPr>
        <w:t>, skirtas naudoti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akių </w:t>
      </w:r>
      <w:proofErr w:type="spellStart"/>
      <w:r w:rsidR="00814359" w:rsidRPr="00FE03F6">
        <w:rPr>
          <w:rFonts w:ascii="Helvetica" w:hAnsi="Helvetica" w:cs="Arial"/>
          <w:sz w:val="20"/>
          <w:szCs w:val="24"/>
          <w:lang w:val="lt-LT"/>
        </w:rPr>
        <w:t>angiogeninio</w:t>
      </w:r>
      <w:proofErr w:type="spellEnd"/>
      <w:r w:rsidR="00814359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sutrikimo gydymo 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>būdą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subjektui, kuriam to reikia, kur 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>bū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das apima vienkartinės pradinės 8 mg ± 0,8 mg </w:t>
      </w:r>
      <w:proofErr w:type="spellStart"/>
      <w:r w:rsidR="00271110" w:rsidRPr="00FE03F6">
        <w:rPr>
          <w:rFonts w:ascii="Helvetica" w:hAnsi="Helvetica" w:cs="Arial"/>
          <w:sz w:val="20"/>
          <w:szCs w:val="24"/>
          <w:lang w:val="lt-LT"/>
        </w:rPr>
        <w:t>aflibercepto</w:t>
      </w:r>
      <w:proofErr w:type="spellEnd"/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dozės, po to vien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>os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>ba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daugiau antrinių 8 mg ± 0,8 mg </w:t>
      </w:r>
      <w:proofErr w:type="spellStart"/>
      <w:r w:rsidR="00271110" w:rsidRPr="00FE03F6">
        <w:rPr>
          <w:rFonts w:ascii="Helvetica" w:hAnsi="Helvetica" w:cs="Arial"/>
          <w:sz w:val="20"/>
          <w:szCs w:val="24"/>
          <w:lang w:val="lt-LT"/>
        </w:rPr>
        <w:t>aflibercepto</w:t>
      </w:r>
      <w:proofErr w:type="spellEnd"/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dozių, po to 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>vienos arba daugiau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tretinių 8 mg ± 0,8 mg </w:t>
      </w:r>
      <w:proofErr w:type="spellStart"/>
      <w:r w:rsidR="00271110" w:rsidRPr="00FE03F6">
        <w:rPr>
          <w:rFonts w:ascii="Helvetica" w:hAnsi="Helvetica" w:cs="Arial"/>
          <w:sz w:val="20"/>
          <w:szCs w:val="24"/>
          <w:lang w:val="lt-LT"/>
        </w:rPr>
        <w:t>aflibercepto</w:t>
      </w:r>
      <w:proofErr w:type="spellEnd"/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dozių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 xml:space="preserve"> įvedimą į subjekto akies stiklakūnį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; kur kiekviena antrinė dozė 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>yra įvedama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praėjus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 xml:space="preserve"> nuo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2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>4 sava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>i</w:t>
      </w:r>
      <w:r w:rsidR="00814359" w:rsidRPr="00FE03F6">
        <w:rPr>
          <w:rFonts w:ascii="Helvetica" w:hAnsi="Helvetica" w:cs="Arial"/>
          <w:sz w:val="20"/>
          <w:szCs w:val="24"/>
          <w:lang w:val="lt-LT"/>
        </w:rPr>
        <w:t>čių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po 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>iš karto prieš tai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>įvest</w:t>
      </w:r>
      <w:r w:rsidR="00421C5B" w:rsidRPr="00FE03F6">
        <w:rPr>
          <w:rFonts w:ascii="Helvetica" w:hAnsi="Helvetica" w:cs="Arial"/>
          <w:sz w:val="20"/>
          <w:szCs w:val="24"/>
          <w:lang w:val="lt-LT"/>
        </w:rPr>
        <w:t>os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>doz</w:t>
      </w:r>
      <w:r w:rsidR="00421C5B" w:rsidRPr="00FE03F6">
        <w:rPr>
          <w:rFonts w:ascii="Helvetica" w:hAnsi="Helvetica" w:cs="Arial"/>
          <w:sz w:val="20"/>
          <w:szCs w:val="24"/>
          <w:lang w:val="lt-LT"/>
        </w:rPr>
        <w:t>ės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; ir kur kiekviena tretinė dozė 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>yra įvedama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praėjus 12 savaičių po 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>iš karto prieš tai įvest</w:t>
      </w:r>
      <w:r w:rsidR="00421C5B" w:rsidRPr="00FE03F6">
        <w:rPr>
          <w:rFonts w:ascii="Helvetica" w:hAnsi="Helvetica" w:cs="Arial"/>
          <w:sz w:val="20"/>
          <w:szCs w:val="24"/>
          <w:lang w:val="lt-LT"/>
        </w:rPr>
        <w:t>os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 xml:space="preserve"> doz</w:t>
      </w:r>
      <w:r w:rsidR="00421C5B" w:rsidRPr="00FE03F6">
        <w:rPr>
          <w:rFonts w:ascii="Helvetica" w:hAnsi="Helvetica" w:cs="Arial"/>
          <w:sz w:val="20"/>
          <w:szCs w:val="24"/>
          <w:lang w:val="lt-LT"/>
        </w:rPr>
        <w:t>ės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>.</w:t>
      </w:r>
    </w:p>
    <w:p w14:paraId="2123DADE" w14:textId="77777777" w:rsidR="00BA0B06" w:rsidRPr="00FE03F6" w:rsidRDefault="00BA0B06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400EAC" w14:textId="77777777" w:rsidR="00BA0B06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2.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1 punktą, kur, taikant minėtą gydymą: </w:t>
      </w:r>
    </w:p>
    <w:p w14:paraId="74C5022B" w14:textId="15BFFEE1" w:rsidR="00BA0B06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(i) 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>atsižvelgiant į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E03F6">
        <w:rPr>
          <w:rFonts w:ascii="Helvetica" w:hAnsi="Helvetica" w:cs="Arial"/>
          <w:sz w:val="20"/>
          <w:szCs w:val="24"/>
          <w:lang w:val="lt-LT"/>
        </w:rPr>
        <w:t>regėjimo aštrumą arba geriausią pakoreguotą regėjimo aštrumą (BCVA)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subjektas pasiekia: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71E2A4FB" w14:textId="57EFA9ED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regėjimo aštrumo arba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BCVA 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praradimo </w:t>
      </w:r>
      <w:r w:rsidRPr="00FE03F6">
        <w:rPr>
          <w:rFonts w:ascii="Helvetica" w:hAnsi="Helvetica" w:cs="Arial"/>
          <w:sz w:val="20"/>
          <w:szCs w:val="24"/>
          <w:lang w:val="lt-LT"/>
        </w:rPr>
        <w:t>nėra;</w:t>
      </w:r>
    </w:p>
    <w:p w14:paraId="1EE01511" w14:textId="46069A95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>regėjimo aštrumo arba BCVA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padidėjimas;</w:t>
      </w:r>
    </w:p>
    <w:p w14:paraId="1594E59A" w14:textId="4B75B8B8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>regėjimo aštrumo arba BCVA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palaikymas</w:t>
      </w:r>
    </w:p>
    <w:p w14:paraId="0C38EFCF" w14:textId="760C1428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>regėjimo aštrumo arba BCVA praradimo nėra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4, 8, 9, 12, 16, 20, 24, 28, 32, 36, 40 arba 44 savaitę po pradinės dozės, k</w:t>
      </w:r>
      <w:r w:rsidR="006A6452" w:rsidRPr="00FE03F6">
        <w:rPr>
          <w:rFonts w:ascii="Helvetica" w:hAnsi="Helvetica" w:cs="Arial"/>
          <w:sz w:val="20"/>
          <w:szCs w:val="24"/>
          <w:lang w:val="lt-LT"/>
        </w:rPr>
        <w:t>ur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A6452" w:rsidRPr="00FE03F6">
        <w:rPr>
          <w:rFonts w:ascii="Helvetica" w:hAnsi="Helvetica" w:cs="Arial"/>
          <w:sz w:val="20"/>
          <w:szCs w:val="24"/>
          <w:lang w:val="lt-LT"/>
        </w:rPr>
        <w:t>regėjimo aštrum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>as</w:t>
      </w:r>
      <w:r w:rsidR="006A6452" w:rsidRPr="00FE03F6">
        <w:rPr>
          <w:rFonts w:ascii="Helvetica" w:hAnsi="Helvetica" w:cs="Arial"/>
          <w:sz w:val="20"/>
          <w:szCs w:val="24"/>
          <w:lang w:val="lt-LT"/>
        </w:rPr>
        <w:t xml:space="preserve"> arba BCVA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atitinka ankstyvojo diabetinės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retinopatijos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gydymo tyrimą (ETDRS) arba </w:t>
      </w:r>
      <w:proofErr w:type="spellStart"/>
      <w:r w:rsidR="006A6452" w:rsidRPr="00FE03F6">
        <w:rPr>
          <w:rFonts w:ascii="Helvetica" w:hAnsi="Helvetica" w:cs="Arial"/>
          <w:sz w:val="20"/>
          <w:szCs w:val="24"/>
          <w:lang w:val="lt-LT"/>
        </w:rPr>
        <w:t>Sneleno</w:t>
      </w:r>
      <w:proofErr w:type="spellEnd"/>
      <w:r w:rsidR="006A6452" w:rsidRPr="00FE03F6">
        <w:rPr>
          <w:rFonts w:ascii="Helvetica" w:hAnsi="Helvetica" w:cs="Arial"/>
          <w:sz w:val="20"/>
          <w:szCs w:val="24"/>
          <w:lang w:val="lt-LT"/>
        </w:rPr>
        <w:t xml:space="preserve"> ekvivalentą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7F5487C6" w14:textId="09075B88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A6452" w:rsidRPr="00FE03F6">
        <w:rPr>
          <w:rFonts w:ascii="Helvetica" w:hAnsi="Helvetica" w:cs="Arial"/>
          <w:sz w:val="20"/>
          <w:szCs w:val="24"/>
          <w:lang w:val="lt-LT"/>
        </w:rPr>
        <w:t xml:space="preserve">regėjimo aštrumo arba BCVA praradimo nėra 5 arba daugiau, 10 arba daugiau arba 15 arba daugiau raidžių atžvilgiu per 4, 8, 9, 12, 16, 20, 24, 28, 32, 36, 40 arba 44 savaitę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po pradinės dozės, 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>kur regėjimo aštrumas arba BCVA atitinka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ETDRS arba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F3C77" w:rsidRPr="00FE03F6">
        <w:rPr>
          <w:rFonts w:ascii="Helvetica" w:hAnsi="Helvetica" w:cs="Arial"/>
          <w:sz w:val="20"/>
          <w:szCs w:val="24"/>
          <w:lang w:val="lt-LT"/>
        </w:rPr>
        <w:t>Sneleno</w:t>
      </w:r>
      <w:proofErr w:type="spellEnd"/>
      <w:r w:rsidR="006F3C77" w:rsidRPr="00FE03F6">
        <w:rPr>
          <w:rFonts w:ascii="Helvetica" w:hAnsi="Helvetica" w:cs="Arial"/>
          <w:sz w:val="20"/>
          <w:szCs w:val="24"/>
          <w:lang w:val="lt-LT"/>
        </w:rPr>
        <w:t xml:space="preserve"> ekvivalentą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68E9C43E" w14:textId="633ADE5D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>regėjimo aštrumo arba BCVA padidėjimas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5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daugiau, 6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daugiau, 7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daugiau, 8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daugiau, 9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daugiau, 10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daugiau arba 15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daugiau raidžių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F3C77" w:rsidRPr="00FE03F6">
        <w:rPr>
          <w:rFonts w:ascii="Helvetica" w:hAnsi="Helvetica" w:cs="Arial"/>
          <w:sz w:val="20"/>
          <w:szCs w:val="24"/>
          <w:lang w:val="lt-LT"/>
        </w:rPr>
        <w:t>atžvigiu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per 4, 8, 9, 12, 16, 20, 24, 28, 32, 36, 40 arba 44 savaitę po pradinės dozės, 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 xml:space="preserve">kur regėjimo aštrumas arba BCVA atitinka ETDRS arba </w:t>
      </w:r>
      <w:proofErr w:type="spellStart"/>
      <w:r w:rsidR="006F3C77" w:rsidRPr="00FE03F6">
        <w:rPr>
          <w:rFonts w:ascii="Helvetica" w:hAnsi="Helvetica" w:cs="Arial"/>
          <w:sz w:val="20"/>
          <w:szCs w:val="24"/>
          <w:lang w:val="lt-LT"/>
        </w:rPr>
        <w:t>Sneleno</w:t>
      </w:r>
      <w:proofErr w:type="spellEnd"/>
      <w:r w:rsidR="006F3C77" w:rsidRPr="00FE03F6">
        <w:rPr>
          <w:rFonts w:ascii="Helvetica" w:hAnsi="Helvetica" w:cs="Arial"/>
          <w:sz w:val="20"/>
          <w:szCs w:val="24"/>
          <w:lang w:val="lt-LT"/>
        </w:rPr>
        <w:t xml:space="preserve"> ekvivalentą</w:t>
      </w:r>
      <w:r w:rsidRPr="00FE03F6">
        <w:rPr>
          <w:rFonts w:ascii="Helvetica" w:hAnsi="Helvetica" w:cs="Arial"/>
          <w:sz w:val="20"/>
          <w:szCs w:val="24"/>
          <w:lang w:val="lt-LT"/>
        </w:rPr>
        <w:t>; ir (arba)</w:t>
      </w:r>
    </w:p>
    <w:p w14:paraId="6B1A6E8A" w14:textId="4AA8F602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>regėjimo aštrumo arba BCVA padidėjimas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6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7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>,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arba 8 raid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>žių atžvi</w:t>
      </w:r>
      <w:r w:rsidR="00A211CF" w:rsidRPr="00FE03F6">
        <w:rPr>
          <w:rFonts w:ascii="Helvetica" w:hAnsi="Helvetica" w:cs="Arial"/>
          <w:sz w:val="20"/>
          <w:szCs w:val="24"/>
          <w:lang w:val="lt-LT"/>
        </w:rPr>
        <w:t>l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>giu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iki 8 savaitės</w:t>
      </w:r>
      <w:r w:rsidR="006F3C77" w:rsidRPr="00FE03F6">
        <w:rPr>
          <w:rFonts w:ascii="Helvetica" w:hAnsi="Helvetica" w:cs="Arial"/>
          <w:sz w:val="20"/>
          <w:szCs w:val="24"/>
          <w:lang w:val="lt-LT"/>
        </w:rPr>
        <w:t>,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ir 6, 7 arba 8 raidžių padidėjimo išlaikymas bent iki 44 savaitės, </w:t>
      </w:r>
      <w:r w:rsidR="00A211CF" w:rsidRPr="00FE03F6">
        <w:rPr>
          <w:rFonts w:ascii="Helvetica" w:hAnsi="Helvetica" w:cs="Arial"/>
          <w:sz w:val="20"/>
          <w:szCs w:val="24"/>
          <w:lang w:val="lt-LT"/>
        </w:rPr>
        <w:t xml:space="preserve">kur regėjimo aštrumas arba BCVA atitinka ETDRS arba </w:t>
      </w:r>
      <w:proofErr w:type="spellStart"/>
      <w:r w:rsidR="00A211CF" w:rsidRPr="00FE03F6">
        <w:rPr>
          <w:rFonts w:ascii="Helvetica" w:hAnsi="Helvetica" w:cs="Arial"/>
          <w:sz w:val="20"/>
          <w:szCs w:val="24"/>
          <w:lang w:val="lt-LT"/>
        </w:rPr>
        <w:t>Sneleno</w:t>
      </w:r>
      <w:proofErr w:type="spellEnd"/>
      <w:r w:rsidR="00A211CF" w:rsidRPr="00FE03F6">
        <w:rPr>
          <w:rFonts w:ascii="Helvetica" w:hAnsi="Helvetica" w:cs="Arial"/>
          <w:sz w:val="20"/>
          <w:szCs w:val="24"/>
          <w:lang w:val="lt-LT"/>
        </w:rPr>
        <w:t xml:space="preserve"> ekvivalentą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700F932D" w14:textId="21E52DF3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(ii) centrin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ės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tinklainės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 xml:space="preserve">dalies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storio (CRT) atžvilgiu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subjektas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pasiekia:</w:t>
      </w:r>
    </w:p>
    <w:p w14:paraId="208E06AF" w14:textId="2CFC27CC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 xml:space="preserve">dalies </w:t>
      </w:r>
      <w:r w:rsidRPr="00FE03F6">
        <w:rPr>
          <w:rFonts w:ascii="Helvetica" w:hAnsi="Helvetica" w:cs="Arial"/>
          <w:sz w:val="20"/>
          <w:szCs w:val="24"/>
          <w:lang w:val="lt-LT"/>
        </w:rPr>
        <w:t>storio sumažėjimas;</w:t>
      </w:r>
    </w:p>
    <w:p w14:paraId="03A31941" w14:textId="608F8F74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 xml:space="preserve">dalies </w:t>
      </w:r>
      <w:r w:rsidRPr="00FE03F6">
        <w:rPr>
          <w:rFonts w:ascii="Helvetica" w:hAnsi="Helvetica" w:cs="Arial"/>
          <w:sz w:val="20"/>
          <w:szCs w:val="24"/>
          <w:lang w:val="lt-LT"/>
        </w:rPr>
        <w:t>stori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nepadidėj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a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230C9680" w14:textId="7E7F46E1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 xml:space="preserve">dalies </w:t>
      </w:r>
      <w:r w:rsidRPr="00FE03F6">
        <w:rPr>
          <w:rFonts w:ascii="Helvetica" w:hAnsi="Helvetica" w:cs="Arial"/>
          <w:sz w:val="20"/>
          <w:szCs w:val="24"/>
          <w:lang w:val="lt-LT"/>
        </w:rPr>
        <w:t>stori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palaik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o</w:t>
      </w:r>
      <w:r w:rsidRPr="00FE03F6">
        <w:rPr>
          <w:rFonts w:ascii="Helvetica" w:hAnsi="Helvetica" w:cs="Arial"/>
          <w:sz w:val="20"/>
          <w:szCs w:val="24"/>
          <w:lang w:val="lt-LT"/>
        </w:rPr>
        <w:t>mas;</w:t>
      </w:r>
    </w:p>
    <w:p w14:paraId="34F675B5" w14:textId="7D126468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dalies stori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sumažėja bent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123, 125, 131, 142, 147, 149, 150, 151, 156, 157, 158, 159, 161, 162, 166, 167, 168, 172, 173, 175, 177, 178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arba 183 mikrometrais per 4, 8, 9, 12, 16, 20, 24, 28, 32, 36, 40 arba 44 savaitę po pradinės dozės;</w:t>
      </w:r>
    </w:p>
    <w:p w14:paraId="6E0E65FC" w14:textId="42530EFC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dalies storis sumažėja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47 mikrometrais nuo 12 iki 20 savaitės po pradinės dozės;</w:t>
      </w:r>
    </w:p>
    <w:p w14:paraId="396B6E75" w14:textId="56C5E9B9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dalies storis sumažėja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17 mikrometrų nuo 24 iki 32 savaitės po pradinės dozės;</w:t>
      </w:r>
    </w:p>
    <w:p w14:paraId="6979465C" w14:textId="137CFC3E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dalies storis sumažėja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18 mikrometrų nuo 36 iki 44 savaitės po pradinės dozės;</w:t>
      </w:r>
    </w:p>
    <w:p w14:paraId="6C8D18AD" w14:textId="63793ACD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dalies storis sumažėja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149, 150, 160 arba 149–160 mikrometrų per 4 savaitę po pradinės dozės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,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ir minėtas sumažėjimas (±1, 2, 3, 4, 5, 10, 12, 13, 14 arba 15 mikrometrų) pasiekiamas per 44 savaitę po pradinės dozės;</w:t>
      </w:r>
    </w:p>
    <w:p w14:paraId="7BF89C35" w14:textId="387F023D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sumažėjimas 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 xml:space="preserve">svyruoja </w:t>
      </w:r>
      <w:r w:rsidRPr="00FE03F6">
        <w:rPr>
          <w:rFonts w:ascii="Helvetica" w:hAnsi="Helvetica" w:cs="Arial"/>
          <w:sz w:val="20"/>
          <w:szCs w:val="24"/>
          <w:lang w:val="lt-LT"/>
        </w:rPr>
        <w:t>nuo 131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-</w:t>
      </w:r>
      <w:r w:rsidRPr="00FE03F6">
        <w:rPr>
          <w:rFonts w:ascii="Helvetica" w:hAnsi="Helvetica" w:cs="Arial"/>
          <w:sz w:val="20"/>
          <w:szCs w:val="24"/>
          <w:lang w:val="lt-LT"/>
        </w:rPr>
        <w:t>178 arba 123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-</w:t>
      </w:r>
      <w:r w:rsidRPr="00FE03F6">
        <w:rPr>
          <w:rFonts w:ascii="Helvetica" w:hAnsi="Helvetica" w:cs="Arial"/>
          <w:sz w:val="20"/>
          <w:szCs w:val="24"/>
          <w:lang w:val="lt-LT"/>
        </w:rPr>
        <w:t>175 mikrometrų nuo 4 iki 44 savaitės;</w:t>
      </w:r>
    </w:p>
    <w:p w14:paraId="0B8D84BC" w14:textId="0B428284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centrinės tinklainės 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dalies storis sumažėja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160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161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,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arba 162 mikrometrais iki 12 savaitės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,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ir šio sumažėjimo (±1, 2, 3, 4 arba 5 mikrometrai) 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pa</w:t>
      </w:r>
      <w:r w:rsidRPr="00FE03F6">
        <w:rPr>
          <w:rFonts w:ascii="Helvetica" w:hAnsi="Helvetica" w:cs="Arial"/>
          <w:sz w:val="20"/>
          <w:szCs w:val="24"/>
          <w:lang w:val="lt-LT"/>
        </w:rPr>
        <w:t>laikymas iki 44 savaitės; ir (arba)</w:t>
      </w:r>
    </w:p>
    <w:p w14:paraId="4F29CDED" w14:textId="6A704199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centrinės tinklainės dalies storis sumažėja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156 mikrometrais iki 16 savaitės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,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minėto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sumažėjimo 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pa</w:t>
      </w:r>
      <w:r w:rsidRPr="00FE03F6">
        <w:rPr>
          <w:rFonts w:ascii="Helvetica" w:hAnsi="Helvetica" w:cs="Arial"/>
          <w:sz w:val="20"/>
          <w:szCs w:val="24"/>
          <w:lang w:val="lt-LT"/>
        </w:rPr>
        <w:t>laikymas (±1, 2, 3, 4 arba 5 mikrometrai) iki 44 savaitės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11CDEEB1" w14:textId="5585273F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lastRenderedPageBreak/>
        <w:t xml:space="preserve">(iii) tinklainės skysčio atžvilgiu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subjektas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pasiekia:</w:t>
      </w:r>
    </w:p>
    <w:p w14:paraId="244ABDDD" w14:textId="3A3CA609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saus</w:t>
      </w:r>
      <w:r w:rsidR="00735A0D" w:rsidRPr="00FE03F6">
        <w:rPr>
          <w:rFonts w:ascii="Helvetica" w:hAnsi="Helvetica" w:cs="Arial"/>
          <w:sz w:val="20"/>
          <w:szCs w:val="24"/>
          <w:lang w:val="lt-LT"/>
        </w:rPr>
        <w:t>oje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tinklainėje nėra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intraretinalinio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subretinalinio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skysčio; arba nėra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intraretinalinio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skysčio; arba nėra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subretinalinio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skysčio; centriniame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polaukyje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arba geltonojoje dėmėje,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 xml:space="preserve">kaip </w:t>
      </w:r>
      <w:r w:rsidRPr="00FE03F6">
        <w:rPr>
          <w:rFonts w:ascii="Helvetica" w:hAnsi="Helvetica" w:cs="Arial"/>
          <w:sz w:val="20"/>
          <w:szCs w:val="24"/>
          <w:lang w:val="lt-LT"/>
        </w:rPr>
        <w:t>išmatuot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>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spektrinio domeno optinės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koherentinės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tomografijos (SD-OCT) metodu;</w:t>
      </w:r>
    </w:p>
    <w:p w14:paraId="62629EA6" w14:textId="344D2D2D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 xml:space="preserve">sausoje tinklainėje nėra </w:t>
      </w:r>
      <w:proofErr w:type="spellStart"/>
      <w:r w:rsidR="00C74A98" w:rsidRPr="00FE03F6">
        <w:rPr>
          <w:rFonts w:ascii="Helvetica" w:hAnsi="Helvetica" w:cs="Arial"/>
          <w:sz w:val="20"/>
          <w:szCs w:val="24"/>
          <w:lang w:val="lt-LT"/>
        </w:rPr>
        <w:t>intraretinalinio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 (IRF) ir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subretinalinio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 (SRF); arba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>nėra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intraretinalinio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skysčio; arba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>nėra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subretinalinio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skysčio; centriniame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polaukyje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>kaip išmatuota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spektrinio domeno optinės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koherentinės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tomografijos metodu 4, 8, 9, 12, 16, 20, 24, 28, 32, 36, 40 arba 44 savaitę po pradinės dozės;</w:t>
      </w:r>
    </w:p>
    <w:p w14:paraId="7C6D3E90" w14:textId="07B98951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 xml:space="preserve">geltonojoje dėmėje nėra SRF ir IRF </w:t>
      </w:r>
      <w:r w:rsidRPr="00FE03F6">
        <w:rPr>
          <w:rFonts w:ascii="Helvetica" w:hAnsi="Helvetica" w:cs="Arial"/>
          <w:sz w:val="20"/>
          <w:szCs w:val="24"/>
          <w:lang w:val="lt-LT"/>
        </w:rPr>
        <w:t>16 arba 44 savaitę po pradinės dozės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>,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>kaip išmatuota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SD-OCT metodu;</w:t>
      </w:r>
    </w:p>
    <w:p w14:paraId="0606089C" w14:textId="7EE976AE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 xml:space="preserve">nėra </w:t>
      </w:r>
      <w:proofErr w:type="spellStart"/>
      <w:r w:rsidR="00C74A98" w:rsidRPr="00FE03F6">
        <w:rPr>
          <w:rFonts w:ascii="Helvetica" w:hAnsi="Helvetica" w:cs="Arial"/>
          <w:sz w:val="20"/>
          <w:szCs w:val="24"/>
          <w:lang w:val="lt-LT"/>
        </w:rPr>
        <w:t>subretinalinio</w:t>
      </w:r>
      <w:proofErr w:type="spellEnd"/>
      <w:r w:rsidR="00C74A98" w:rsidRPr="00FE03F6">
        <w:rPr>
          <w:rFonts w:ascii="Helvetica" w:hAnsi="Helvetica" w:cs="Arial"/>
          <w:sz w:val="20"/>
          <w:szCs w:val="24"/>
          <w:lang w:val="lt-LT"/>
        </w:rPr>
        <w:t xml:space="preserve"> pigmentinio epitelio (RTE) skysčio bent 44 savaitę po pradinės dozės, kaip išmatuota spektrinio domeno optinės </w:t>
      </w:r>
      <w:proofErr w:type="spellStart"/>
      <w:r w:rsidR="00C74A98" w:rsidRPr="00FE03F6">
        <w:rPr>
          <w:rFonts w:ascii="Helvetica" w:hAnsi="Helvetica" w:cs="Arial"/>
          <w:sz w:val="20"/>
          <w:szCs w:val="24"/>
          <w:lang w:val="lt-LT"/>
        </w:rPr>
        <w:t>koherentinės</w:t>
      </w:r>
      <w:proofErr w:type="spellEnd"/>
      <w:r w:rsidR="00C74A98" w:rsidRPr="00FE03F6">
        <w:rPr>
          <w:rFonts w:ascii="Helvetica" w:hAnsi="Helvetica" w:cs="Arial"/>
          <w:sz w:val="20"/>
          <w:szCs w:val="24"/>
          <w:lang w:val="lt-LT"/>
        </w:rPr>
        <w:t xml:space="preserve"> tomografijos metodu;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ir (arba)</w:t>
      </w:r>
    </w:p>
    <w:p w14:paraId="30850A89" w14:textId="34B51C33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sausos tinklainės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>pa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laikymas, pasiektas bent iki 44 savaičių po pradinės dozės, </w:t>
      </w:r>
      <w:r w:rsidR="00C74A98" w:rsidRPr="00FE03F6">
        <w:rPr>
          <w:rFonts w:ascii="Helvetica" w:hAnsi="Helvetica" w:cs="Arial"/>
          <w:sz w:val="20"/>
          <w:szCs w:val="24"/>
          <w:lang w:val="lt-LT"/>
        </w:rPr>
        <w:t xml:space="preserve">kaip išmatuota spektrinio domeno optinės </w:t>
      </w:r>
      <w:proofErr w:type="spellStart"/>
      <w:r w:rsidR="00C74A98" w:rsidRPr="00FE03F6">
        <w:rPr>
          <w:rFonts w:ascii="Helvetica" w:hAnsi="Helvetica" w:cs="Arial"/>
          <w:sz w:val="20"/>
          <w:szCs w:val="24"/>
          <w:lang w:val="lt-LT"/>
        </w:rPr>
        <w:t>koherentinės</w:t>
      </w:r>
      <w:proofErr w:type="spellEnd"/>
      <w:r w:rsidR="00C74A98" w:rsidRPr="00FE03F6">
        <w:rPr>
          <w:rFonts w:ascii="Helvetica" w:hAnsi="Helvetica" w:cs="Arial"/>
          <w:sz w:val="20"/>
          <w:szCs w:val="24"/>
          <w:lang w:val="lt-LT"/>
        </w:rPr>
        <w:t xml:space="preserve"> tomografijos metodu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7AF1F6A5" w14:textId="785C071A" w:rsidR="00271110" w:rsidRPr="00FE03F6" w:rsidRDefault="00271110" w:rsidP="00FE03F6">
      <w:pPr>
        <w:tabs>
          <w:tab w:val="left" w:pos="3885"/>
        </w:tabs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ir (arba)</w:t>
      </w:r>
    </w:p>
    <w:p w14:paraId="2F8FFFB8" w14:textId="4EE552D1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(iv) </w:t>
      </w:r>
      <w:r w:rsidR="00BA0B06" w:rsidRPr="00FE03F6">
        <w:rPr>
          <w:rFonts w:ascii="Helvetica" w:hAnsi="Helvetica" w:cs="Arial"/>
          <w:sz w:val="20"/>
          <w:szCs w:val="24"/>
          <w:lang w:val="lt-LT"/>
        </w:rPr>
        <w:t>subjektas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pasiekia:</w:t>
      </w:r>
    </w:p>
    <w:p w14:paraId="4251FF59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bendro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neovaskuliarizacijos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(CNV) pažeidimo dydžio sumažėjimas bent 3,2 arba 3,3 mikrometrų per 4, 8, 9, 12, 16, 20, 24, 28, 32, 36, 40 arba 44 savaitę po pradinės dozės;</w:t>
      </w:r>
    </w:p>
    <w:p w14:paraId="5EBDDA70" w14:textId="56CC5AAD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8731C" w:rsidRPr="00FE03F6">
        <w:rPr>
          <w:rFonts w:ascii="Helvetica" w:hAnsi="Helvetica" w:cs="Arial"/>
          <w:sz w:val="20"/>
          <w:szCs w:val="24"/>
          <w:lang w:val="lt-LT"/>
        </w:rPr>
        <w:t xml:space="preserve">reikšmingo akispūdžio padidėjimo, lyginant su pradiniu lygiu, nėra </w:t>
      </w:r>
      <w:r w:rsidRPr="00FE03F6">
        <w:rPr>
          <w:rFonts w:ascii="Helvetica" w:hAnsi="Helvetica" w:cs="Arial"/>
          <w:sz w:val="20"/>
          <w:szCs w:val="24"/>
          <w:lang w:val="lt-LT"/>
        </w:rPr>
        <w:t>4, 8, 9, 12, 16, 20, 24, 28, 32, 36, 40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44 savaitę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vėliau po pradinės dozės; ir (arba)</w:t>
      </w:r>
    </w:p>
    <w:p w14:paraId="3471E41D" w14:textId="66B2300E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Cambria Math"/>
          <w:sz w:val="20"/>
          <w:szCs w:val="24"/>
          <w:lang w:val="lt-LT"/>
        </w:rPr>
        <w:t>∘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8731C" w:rsidRPr="00FE03F6">
        <w:rPr>
          <w:rFonts w:ascii="Helvetica" w:hAnsi="Helvetica" w:cs="Arial"/>
          <w:sz w:val="20"/>
          <w:szCs w:val="24"/>
          <w:lang w:val="lt-LT"/>
        </w:rPr>
        <w:t xml:space="preserve">reikšmingo </w:t>
      </w:r>
      <w:proofErr w:type="spellStart"/>
      <w:r w:rsidR="0008731C" w:rsidRPr="00FE03F6">
        <w:rPr>
          <w:rFonts w:ascii="Helvetica" w:hAnsi="Helvetica" w:cs="Arial"/>
          <w:sz w:val="20"/>
          <w:szCs w:val="24"/>
          <w:lang w:val="lt-LT"/>
        </w:rPr>
        <w:t>sistolinio</w:t>
      </w:r>
      <w:proofErr w:type="spellEnd"/>
      <w:r w:rsidR="0008731C" w:rsidRPr="00FE03F6">
        <w:rPr>
          <w:rFonts w:ascii="Helvetica" w:hAnsi="Helvetica" w:cs="Arial"/>
          <w:sz w:val="20"/>
          <w:szCs w:val="24"/>
          <w:lang w:val="lt-LT"/>
        </w:rPr>
        <w:t xml:space="preserve"> (S) ir (arba) </w:t>
      </w:r>
      <w:proofErr w:type="spellStart"/>
      <w:r w:rsidR="0008731C" w:rsidRPr="00FE03F6">
        <w:rPr>
          <w:rFonts w:ascii="Helvetica" w:hAnsi="Helvetica" w:cs="Arial"/>
          <w:sz w:val="20"/>
          <w:szCs w:val="24"/>
          <w:lang w:val="lt-LT"/>
        </w:rPr>
        <w:t>diastolinio</w:t>
      </w:r>
      <w:proofErr w:type="spellEnd"/>
      <w:r w:rsidR="0008731C" w:rsidRPr="00FE03F6">
        <w:rPr>
          <w:rFonts w:ascii="Helvetica" w:hAnsi="Helvetica" w:cs="Arial"/>
          <w:sz w:val="20"/>
          <w:szCs w:val="24"/>
          <w:lang w:val="lt-LT"/>
        </w:rPr>
        <w:t xml:space="preserve"> (D) kraujospūdžio padidėjimo, lyginant su pradiniu lygiu, nėra </w:t>
      </w:r>
      <w:r w:rsidRPr="00FE03F6">
        <w:rPr>
          <w:rFonts w:ascii="Helvetica" w:hAnsi="Helvetica" w:cs="Arial"/>
          <w:sz w:val="20"/>
          <w:szCs w:val="24"/>
          <w:lang w:val="lt-LT"/>
        </w:rPr>
        <w:t>4, 8, 9, 12, 16, 20, 24, 28, 32, 36, 40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44 savaitę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vėliau po pradinės dozės.</w:t>
      </w:r>
    </w:p>
    <w:p w14:paraId="2D642B7E" w14:textId="77777777" w:rsidR="00525499" w:rsidRPr="00FE03F6" w:rsidRDefault="00525499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B60469" w14:textId="6B8DB861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3.</w:t>
      </w:r>
      <w:r w:rsidR="00525499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2 punktą, kur sausoje tinklainėje trūksta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intraretinalininio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subretinalininio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skysčio.</w:t>
      </w:r>
    </w:p>
    <w:p w14:paraId="605F1999" w14:textId="77777777" w:rsidR="00525499" w:rsidRPr="00FE03F6" w:rsidRDefault="00525499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A0796D" w14:textId="77023747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4.</w:t>
      </w:r>
      <w:r w:rsidR="00525499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 skirtas naudoti pagal 2 arba 3 punktą, kur minėtos pradinės dozės</w:t>
      </w:r>
      <w:r w:rsidR="00525499" w:rsidRPr="00FE03F6">
        <w:rPr>
          <w:rFonts w:ascii="Helvetica" w:hAnsi="Helvetica" w:cs="Arial"/>
          <w:sz w:val="20"/>
          <w:szCs w:val="24"/>
          <w:lang w:val="lt-LT"/>
        </w:rPr>
        <w:t xml:space="preserve"> vartojimo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metu arba prieš j</w:t>
      </w:r>
      <w:r w:rsidR="00525499" w:rsidRPr="00FE03F6">
        <w:rPr>
          <w:rFonts w:ascii="Helvetica" w:hAnsi="Helvetica" w:cs="Arial"/>
          <w:sz w:val="20"/>
          <w:szCs w:val="24"/>
          <w:lang w:val="lt-LT"/>
        </w:rPr>
        <w:t>į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5499" w:rsidRPr="00FE03F6">
        <w:rPr>
          <w:rFonts w:ascii="Helvetica" w:hAnsi="Helvetica" w:cs="Arial"/>
          <w:sz w:val="20"/>
          <w:szCs w:val="24"/>
          <w:lang w:val="lt-LT"/>
        </w:rPr>
        <w:t>subjektas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turi vieną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FE03F6">
        <w:rPr>
          <w:rFonts w:ascii="Helvetica" w:hAnsi="Helvetica" w:cs="Arial"/>
          <w:sz w:val="20"/>
          <w:szCs w:val="24"/>
          <w:lang w:val="lt-LT"/>
        </w:rPr>
        <w:t>daugiau iš šių savybių:</w:t>
      </w:r>
    </w:p>
    <w:p w14:paraId="155F2F61" w14:textId="305CFC8F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geriausias pakoreguotas regėjimo aštrumas </w:t>
      </w:r>
      <w:r w:rsidR="0074317D" w:rsidRPr="00FE03F6">
        <w:rPr>
          <w:rFonts w:ascii="Helvetica" w:hAnsi="Helvetica" w:cs="Arial"/>
          <w:sz w:val="20"/>
          <w:szCs w:val="24"/>
          <w:lang w:val="lt-LT"/>
        </w:rPr>
        <w:t>yra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57, 58 arba 57–58 ETDRS raidės;</w:t>
      </w:r>
    </w:p>
    <w:p w14:paraId="7FA95B79" w14:textId="7F6505F4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r w:rsidR="0074317D" w:rsidRPr="00FE03F6">
        <w:rPr>
          <w:rFonts w:ascii="Helvetica" w:hAnsi="Helvetica" w:cs="Arial"/>
          <w:sz w:val="20"/>
          <w:szCs w:val="24"/>
          <w:lang w:val="lt-LT"/>
        </w:rPr>
        <w:t>centrinės tinklainės dalies storis, kaip išmatuota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SD-OCT metodu, yra 488, 516, 502 arba 488–516 mikrometrų;</w:t>
      </w:r>
    </w:p>
    <w:p w14:paraId="1F273CDA" w14:textId="080AB21F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akispūdis </w:t>
      </w:r>
      <w:r w:rsidR="0074317D" w:rsidRPr="00FE03F6">
        <w:rPr>
          <w:rFonts w:ascii="Helvetica" w:hAnsi="Helvetica" w:cs="Arial"/>
          <w:sz w:val="20"/>
          <w:szCs w:val="24"/>
          <w:lang w:val="lt-LT"/>
        </w:rPr>
        <w:t xml:space="preserve">lygus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14, 15 arba 14–15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mmHg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3F562F78" w14:textId="06C904AC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neovaskulinės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su amžiumi susijusios geltonosios dėmės degeneracijos pažeidimo dydis 7, 8 arba 7–8 mm</w:t>
      </w:r>
      <w:r w:rsidR="0074317D" w:rsidRPr="00FE03F6">
        <w:rPr>
          <w:rFonts w:ascii="Helvetica" w:hAnsi="Helvetica" w:cs="Arial"/>
          <w:sz w:val="20"/>
          <w:szCs w:val="24"/>
          <w:lang w:val="lt-LT"/>
        </w:rPr>
        <w:t>²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6867D1E1" w14:textId="675C975B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neovaskuliarizacijos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pažeidimo dydis 7, 8 arba 7–8 mm</w:t>
      </w:r>
      <w:r w:rsidR="0074317D" w:rsidRPr="00FE03F6">
        <w:rPr>
          <w:rFonts w:ascii="Helvetica" w:hAnsi="Helvetica" w:cs="Arial"/>
          <w:sz w:val="20"/>
          <w:szCs w:val="24"/>
          <w:lang w:val="lt-LT"/>
        </w:rPr>
        <w:t>²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71EB82EC" w14:textId="59154A4F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okultinė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, kaip nustatyta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fluoresceino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angiografijos 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>metodu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730A7DEF" w14:textId="0D99AA5A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klasikinė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, kaip nustatyta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fluoresceino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angiografijos metodu; </w:t>
      </w:r>
      <w:r w:rsidRPr="00FE03F6">
        <w:rPr>
          <w:rFonts w:ascii="Helvetica" w:hAnsi="Helvetica" w:cs="Arial"/>
          <w:sz w:val="20"/>
          <w:szCs w:val="24"/>
          <w:lang w:val="lt-LT"/>
        </w:rPr>
        <w:t>ir (arba)</w:t>
      </w:r>
    </w:p>
    <w:p w14:paraId="748E30BC" w14:textId="02103F4A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vyraujanti klasikinė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, kaip nustatyta </w:t>
      </w:r>
      <w:proofErr w:type="spellStart"/>
      <w:r w:rsidR="004E4F2B" w:rsidRPr="00FE03F6">
        <w:rPr>
          <w:rFonts w:ascii="Helvetica" w:hAnsi="Helvetica" w:cs="Arial"/>
          <w:sz w:val="20"/>
          <w:szCs w:val="24"/>
          <w:lang w:val="lt-LT"/>
        </w:rPr>
        <w:t>fluoresceino</w:t>
      </w:r>
      <w:proofErr w:type="spellEnd"/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angiografijos metodu</w:t>
      </w:r>
      <w:r w:rsidRPr="00FE03F6">
        <w:rPr>
          <w:rFonts w:ascii="Helvetica" w:hAnsi="Helvetica" w:cs="Arial"/>
          <w:sz w:val="20"/>
          <w:szCs w:val="24"/>
          <w:lang w:val="lt-LT"/>
        </w:rPr>
        <w:t>.</w:t>
      </w:r>
    </w:p>
    <w:p w14:paraId="19B1AC15" w14:textId="77777777" w:rsidR="004E4F2B" w:rsidRPr="00FE03F6" w:rsidRDefault="004E4F2B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61465B" w14:textId="7258DB6C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5.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1–4 punktų, kur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>įvedamas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farmacinėje kompozicijoje, apimančioje 103–126 mg/ml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buferį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10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± 1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pagrind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>u</w:t>
      </w:r>
      <w:r w:rsidRPr="00FE03F6">
        <w:rPr>
          <w:rFonts w:ascii="Helvetica" w:hAnsi="Helvetica" w:cs="Arial"/>
          <w:sz w:val="20"/>
          <w:szCs w:val="24"/>
          <w:lang w:val="lt-LT"/>
        </w:rPr>
        <w:t>, 5 ± 0,5 % (m/t) sacharoz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>ę</w:t>
      </w:r>
      <w:r w:rsidRPr="00FE03F6">
        <w:rPr>
          <w:rFonts w:ascii="Helvetica" w:hAnsi="Helvetica" w:cs="Arial"/>
          <w:sz w:val="20"/>
          <w:szCs w:val="24"/>
          <w:lang w:val="lt-LT"/>
        </w:rPr>
        <w:t>, 0,02–0,04 % (m/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>V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20 ir 50 ± 5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L-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 pH 5,5–6,1.</w:t>
      </w:r>
    </w:p>
    <w:p w14:paraId="10301FEC" w14:textId="77777777" w:rsidR="004E4F2B" w:rsidRPr="00FE03F6" w:rsidRDefault="004E4F2B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796A0E" w14:textId="6E9B8146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lastRenderedPageBreak/>
        <w:t>6.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1–5 punktų, kur 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FE03F6">
        <w:rPr>
          <w:rFonts w:ascii="Helvetica" w:hAnsi="Helvetica" w:cs="Arial"/>
          <w:sz w:val="20"/>
          <w:szCs w:val="24"/>
          <w:lang w:val="lt-LT"/>
        </w:rPr>
        <w:t>2</w:t>
      </w:r>
      <w:r w:rsidR="004E4F2B" w:rsidRPr="00FE03F6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FE03F6">
        <w:rPr>
          <w:rFonts w:ascii="Helvetica" w:hAnsi="Helvetica" w:cs="Arial"/>
          <w:sz w:val="20"/>
          <w:szCs w:val="24"/>
          <w:lang w:val="lt-LT"/>
        </w:rPr>
        <w:t>4 savai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čių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yra 2, 3 arba 4 savaitės.</w:t>
      </w:r>
    </w:p>
    <w:p w14:paraId="52C7BF16" w14:textId="77777777" w:rsidR="00C36D15" w:rsidRPr="00FE03F6" w:rsidRDefault="00C36D15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8759DE" w14:textId="14FC7A32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7.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1–6 punktų, kur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nuo 2 iki 4 savaičių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yra 4 savaitės.</w:t>
      </w:r>
    </w:p>
    <w:p w14:paraId="5A6795B6" w14:textId="77777777" w:rsidR="00C36D15" w:rsidRPr="00FE03F6" w:rsidRDefault="00C36D15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DCDB90" w14:textId="3CD9778D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8.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 skirtas naudoti pagal bet kurį iš 1–7 punktų, kur:</w:t>
      </w:r>
    </w:p>
    <w:p w14:paraId="1EE00B17" w14:textId="4F67E122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po vienkartinės pradinės dozės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įved</w:t>
      </w:r>
      <w:r w:rsidRPr="00FE03F6">
        <w:rPr>
          <w:rFonts w:ascii="Helvetica" w:hAnsi="Helvetica" w:cs="Arial"/>
          <w:sz w:val="20"/>
          <w:szCs w:val="24"/>
          <w:lang w:val="lt-LT"/>
        </w:rPr>
        <w:t>amos tik 2 antrinės dozės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,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14163ACA" w14:textId="5991B935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kiekviena antrinė dozė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yra įvedama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praėjus 4 savaitėms po ankstesnės dozės.</w:t>
      </w:r>
    </w:p>
    <w:p w14:paraId="7AC4A799" w14:textId="77777777" w:rsidR="00C36D15" w:rsidRPr="00FE03F6" w:rsidRDefault="00C36D15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49272C" w14:textId="6A1404DC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9.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1–8 punktų, kur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bū</w:t>
      </w:r>
      <w:r w:rsidRPr="00FE03F6">
        <w:rPr>
          <w:rFonts w:ascii="Helvetica" w:hAnsi="Helvetica" w:cs="Arial"/>
          <w:sz w:val="20"/>
          <w:szCs w:val="24"/>
          <w:lang w:val="lt-LT"/>
        </w:rPr>
        <w:t>das papildomai apima vienos</w:t>
      </w:r>
      <w:r w:rsidR="00672E85" w:rsidRPr="00FE03F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daugiau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papildomų dozių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įvedimą pagal poreikį</w:t>
      </w:r>
      <w:r w:rsidRPr="00FE03F6">
        <w:rPr>
          <w:rFonts w:ascii="Helvetica" w:hAnsi="Helvetica" w:cs="Arial"/>
          <w:sz w:val="20"/>
          <w:szCs w:val="24"/>
          <w:lang w:val="lt-LT"/>
        </w:rPr>
        <w:t>.</w:t>
      </w:r>
    </w:p>
    <w:p w14:paraId="557A3042" w14:textId="77777777" w:rsidR="00C36D15" w:rsidRPr="00FE03F6" w:rsidRDefault="00C36D15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529E4E" w14:textId="4891C5C9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10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 xml:space="preserve">.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1–9 punktų, kur akių </w:t>
      </w:r>
      <w:proofErr w:type="spellStart"/>
      <w:r w:rsidR="00C36D15" w:rsidRPr="00FE03F6">
        <w:rPr>
          <w:rFonts w:ascii="Helvetica" w:hAnsi="Helvetica" w:cs="Arial"/>
          <w:sz w:val="20"/>
          <w:szCs w:val="24"/>
          <w:lang w:val="lt-LT"/>
        </w:rPr>
        <w:t>angiogeninis</w:t>
      </w:r>
      <w:proofErr w:type="spellEnd"/>
      <w:r w:rsidR="00C36D15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E03F6">
        <w:rPr>
          <w:rFonts w:ascii="Helvetica" w:hAnsi="Helvetica" w:cs="Arial"/>
          <w:sz w:val="20"/>
          <w:szCs w:val="24"/>
          <w:lang w:val="lt-LT"/>
        </w:rPr>
        <w:t>sutrikimas yra:</w:t>
      </w:r>
    </w:p>
    <w:p w14:paraId="458FEF5A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su amžiumi susijusi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neovaskulinė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geltonosios dėmės degeneracija,</w:t>
      </w:r>
    </w:p>
    <w:p w14:paraId="3DDE2171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• geltonosios dėmės edema (ME),</w:t>
      </w:r>
    </w:p>
    <w:p w14:paraId="0DB5CC69" w14:textId="0B0F22DF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geltonosios dėmės edema po tinklainės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 xml:space="preserve">venų </w:t>
      </w:r>
      <w:proofErr w:type="spellStart"/>
      <w:r w:rsidR="00C36D15" w:rsidRPr="00FE03F6">
        <w:rPr>
          <w:rFonts w:ascii="Helvetica" w:hAnsi="Helvetica" w:cs="Arial"/>
          <w:sz w:val="20"/>
          <w:szCs w:val="24"/>
          <w:lang w:val="lt-LT"/>
        </w:rPr>
        <w:t>okliuzijos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(ME-RVO),</w:t>
      </w:r>
    </w:p>
    <w:p w14:paraId="126FA240" w14:textId="0563FA5D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tinklainės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 xml:space="preserve">venų </w:t>
      </w:r>
      <w:proofErr w:type="spellStart"/>
      <w:r w:rsidR="00C36D15" w:rsidRPr="00FE03F6">
        <w:rPr>
          <w:rFonts w:ascii="Helvetica" w:hAnsi="Helvetica" w:cs="Arial"/>
          <w:sz w:val="20"/>
          <w:szCs w:val="24"/>
          <w:lang w:val="lt-LT"/>
        </w:rPr>
        <w:t>okliuzija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(RVO),</w:t>
      </w:r>
    </w:p>
    <w:p w14:paraId="5FB03D60" w14:textId="27D32C3D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centrinės tinklainės dalies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 xml:space="preserve">venų </w:t>
      </w:r>
      <w:proofErr w:type="spellStart"/>
      <w:r w:rsidR="00C36D15" w:rsidRPr="00FE03F6">
        <w:rPr>
          <w:rFonts w:ascii="Helvetica" w:hAnsi="Helvetica" w:cs="Arial"/>
          <w:sz w:val="20"/>
          <w:szCs w:val="24"/>
          <w:lang w:val="lt-LT"/>
        </w:rPr>
        <w:t>okliuzija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(CRVO),</w:t>
      </w:r>
    </w:p>
    <w:p w14:paraId="072F7AB3" w14:textId="5CCB1108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• tinklainės ven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ų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at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šakos </w:t>
      </w:r>
      <w:proofErr w:type="spellStart"/>
      <w:r w:rsidR="00C36D15" w:rsidRPr="00FE03F6">
        <w:rPr>
          <w:rFonts w:ascii="Helvetica" w:hAnsi="Helvetica" w:cs="Arial"/>
          <w:sz w:val="20"/>
          <w:szCs w:val="24"/>
          <w:lang w:val="lt-LT"/>
        </w:rPr>
        <w:t>okliuzija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(BRVO),</w:t>
      </w:r>
    </w:p>
    <w:p w14:paraId="4382CAF1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• diabetinė geltonosios dėmės edema (DME),</w:t>
      </w:r>
    </w:p>
    <w:p w14:paraId="0BB055F2" w14:textId="0BFC6B91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gyslainės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36D15" w:rsidRPr="00FE03F6">
        <w:rPr>
          <w:rFonts w:ascii="Helvetica" w:hAnsi="Helvetica" w:cs="Arial"/>
          <w:sz w:val="20"/>
          <w:szCs w:val="24"/>
          <w:lang w:val="lt-LT"/>
        </w:rPr>
        <w:t>CNV</w:t>
      </w:r>
      <w:r w:rsidRPr="00FE03F6">
        <w:rPr>
          <w:rFonts w:ascii="Helvetica" w:hAnsi="Helvetica" w:cs="Arial"/>
          <w:sz w:val="20"/>
          <w:szCs w:val="24"/>
          <w:lang w:val="lt-LT"/>
        </w:rPr>
        <w:t>),</w:t>
      </w:r>
    </w:p>
    <w:p w14:paraId="06DDE8F4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rainelės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0A3E896C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neovaskulinė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glaukoma,</w:t>
      </w:r>
    </w:p>
    <w:p w14:paraId="1C2AB13B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• pooperacinė fibrozė sergant glaukoma,</w:t>
      </w:r>
    </w:p>
    <w:p w14:paraId="2CDDD25E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proliferacinė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vitreoretinopatija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(PVP),</w:t>
      </w:r>
    </w:p>
    <w:p w14:paraId="54DC20E3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regos nervo disko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1BE67BE9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ragenos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742C4C25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tinklainės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6272119D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stiklakūnio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neovaskuliarizacija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4D1A9CB6" w14:textId="634991C3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• panusas,</w:t>
      </w:r>
    </w:p>
    <w:p w14:paraId="10FAC272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kraujagyslinė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7F023819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diabetinė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(DR),</w:t>
      </w:r>
    </w:p>
    <w:p w14:paraId="132F0920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neproliferacinė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diabetinė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0E7DD5CA" w14:textId="514B8266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diabetinė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>c h a r a k t e r i z u o j a m a</w:t>
      </w:r>
      <w:r w:rsidR="00FE03F6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diabetinės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retinopatijos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sunkumo skalės (DRSS) 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 xml:space="preserve">47 arba 53 </w:t>
      </w:r>
      <w:r w:rsidRPr="00FE03F6">
        <w:rPr>
          <w:rFonts w:ascii="Helvetica" w:hAnsi="Helvetica" w:cs="Arial"/>
          <w:sz w:val="20"/>
          <w:szCs w:val="24"/>
          <w:lang w:val="lt-LT"/>
        </w:rPr>
        <w:t>lygi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>u</w:t>
      </w:r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0C7F4C9A" w14:textId="7777777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proliferacinė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diabetinė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0AAA557D" w14:textId="069D1115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proliferacinė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diabetinė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>pas subjektą</w:t>
      </w:r>
      <w:r w:rsidRPr="00FE03F6">
        <w:rPr>
          <w:rFonts w:ascii="Helvetica" w:hAnsi="Helvetica" w:cs="Arial"/>
          <w:sz w:val="20"/>
          <w:szCs w:val="24"/>
          <w:lang w:val="lt-LT"/>
        </w:rPr>
        <w:t>, kuris neserga DME, ir (arba)</w:t>
      </w:r>
    </w:p>
    <w:p w14:paraId="439E4FF6" w14:textId="7FFBE756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• diabetinė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 xml:space="preserve">pas </w:t>
      </w:r>
      <w:r w:rsidRPr="00FE03F6">
        <w:rPr>
          <w:rFonts w:ascii="Helvetica" w:hAnsi="Helvetica" w:cs="Arial"/>
          <w:sz w:val="20"/>
          <w:szCs w:val="24"/>
          <w:lang w:val="lt-LT"/>
        </w:rPr>
        <w:t>pacient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>ą</w:t>
      </w:r>
      <w:r w:rsidRPr="00FE03F6">
        <w:rPr>
          <w:rFonts w:ascii="Helvetica" w:hAnsi="Helvetica" w:cs="Arial"/>
          <w:sz w:val="20"/>
          <w:szCs w:val="24"/>
          <w:lang w:val="lt-LT"/>
        </w:rPr>
        <w:t>, kuriam pasireiškia diabetinė geltonosios dėmės edema (DME).</w:t>
      </w:r>
    </w:p>
    <w:p w14:paraId="1A541F8C" w14:textId="77777777" w:rsidR="005C6AEA" w:rsidRPr="00FE03F6" w:rsidRDefault="005C6AEA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13733C" w14:textId="022239D1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11.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1–10 punktų, kur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angiogeninis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akių sutrikimas yra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neovaskulinė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su amžiumi susijusi geltonosios dėmės degeneracija, diabetinė geltonosios dėmės edema (DME), diabetinė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(DR) arba geltonosios dėmės edema po tinklainės ven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>ų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5C6AEA" w:rsidRPr="00FE03F6">
        <w:rPr>
          <w:rFonts w:ascii="Helvetica" w:hAnsi="Helvetica" w:cs="Arial"/>
          <w:sz w:val="20"/>
          <w:szCs w:val="24"/>
          <w:lang w:val="lt-LT"/>
        </w:rPr>
        <w:t>okl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i</w:t>
      </w:r>
      <w:r w:rsidR="005C6AEA" w:rsidRPr="00FE03F6">
        <w:rPr>
          <w:rFonts w:ascii="Helvetica" w:hAnsi="Helvetica" w:cs="Arial"/>
          <w:sz w:val="20"/>
          <w:szCs w:val="24"/>
          <w:lang w:val="lt-LT"/>
        </w:rPr>
        <w:t>uzijos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(ME-RVO).</w:t>
      </w:r>
    </w:p>
    <w:p w14:paraId="77FA538D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350591" w14:textId="73826CBA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lastRenderedPageBreak/>
        <w:t>12.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 skirtas naudoti pagal bet kurį iš 1–4 punktų,</w:t>
      </w:r>
      <w:r w:rsidR="00FE03F6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E03F6">
        <w:rPr>
          <w:rFonts w:ascii="Helvetica" w:hAnsi="Helvetica" w:cs="Arial"/>
          <w:sz w:val="20"/>
          <w:szCs w:val="24"/>
          <w:lang w:val="lt-LT"/>
        </w:rPr>
        <w:t>kur tinklainės džiūvim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as yra</w:t>
      </w:r>
      <w:r w:rsidR="00FE03F6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39B8" w:rsidRPr="00FE03F6">
        <w:rPr>
          <w:rFonts w:ascii="Helvetica" w:hAnsi="Helvetica" w:cs="Arial"/>
          <w:sz w:val="20"/>
          <w:szCs w:val="24"/>
          <w:lang w:val="lt-LT"/>
        </w:rPr>
        <w:t>c h a r a k t e r i z u o j a m a</w:t>
      </w:r>
      <w:r w:rsidR="00B539B8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s</w:t>
      </w:r>
      <w:r w:rsidR="00B539B8">
        <w:rPr>
          <w:rFonts w:ascii="Helvetica" w:hAnsi="Helvetica" w:cs="Arial"/>
          <w:sz w:val="20"/>
          <w:szCs w:val="24"/>
          <w:lang w:val="lt-LT"/>
        </w:rPr>
        <w:t xml:space="preserve"> 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intraretinalinio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 (IRF) ir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subretinalinio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skysčio (SRF) nebuvim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u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subjekto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akyje po to, kai </w:t>
      </w:r>
      <w:r w:rsidR="00994570" w:rsidRPr="00FE03F6">
        <w:rPr>
          <w:rFonts w:ascii="Helvetica" w:hAnsi="Helvetica" w:cs="Arial"/>
          <w:sz w:val="20"/>
          <w:szCs w:val="24"/>
          <w:lang w:val="lt-LT"/>
        </w:rPr>
        <w:t>subjektas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gavo tris mėnesines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dozes.</w:t>
      </w:r>
    </w:p>
    <w:p w14:paraId="299F8C92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43BEC6" w14:textId="39369084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13.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1–11 punktų, kur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yra farmacin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iame produkte</w:t>
      </w:r>
      <w:r w:rsidRPr="00FE03F6">
        <w:rPr>
          <w:rFonts w:ascii="Helvetica" w:hAnsi="Helvetica" w:cs="Arial"/>
          <w:sz w:val="20"/>
          <w:szCs w:val="24"/>
          <w:lang w:val="lt-LT"/>
        </w:rPr>
        <w:t>, apimanči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ame</w:t>
      </w:r>
      <w:r w:rsidRPr="00FE03F6">
        <w:rPr>
          <w:rFonts w:ascii="Helvetica" w:hAnsi="Helvetica" w:cs="Arial"/>
          <w:sz w:val="20"/>
          <w:szCs w:val="24"/>
          <w:lang w:val="lt-LT"/>
        </w:rPr>
        <w:t>:</w:t>
      </w:r>
    </w:p>
    <w:p w14:paraId="3FFA815B" w14:textId="35C56667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bent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100 mg/ml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</w:t>
      </w:r>
    </w:p>
    <w:p w14:paraId="08414838" w14:textId="3419E0B0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- L-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arginin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4B7C3CBF" w14:textId="35346ECC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buferį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pagrindu.</w:t>
      </w:r>
    </w:p>
    <w:p w14:paraId="7A646B7F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53B263" w14:textId="40C9C84B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14.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1–13 punktų, kur </w:t>
      </w:r>
      <w:proofErr w:type="spellStart"/>
      <w:r w:rsidR="002E2EE3" w:rsidRPr="00FE03F6">
        <w:rPr>
          <w:rFonts w:ascii="Helvetica" w:hAnsi="Helvetica" w:cs="Arial"/>
          <w:sz w:val="20"/>
          <w:szCs w:val="24"/>
          <w:lang w:val="lt-LT"/>
        </w:rPr>
        <w:t>a</w:t>
      </w:r>
      <w:r w:rsidRPr="00FE03F6">
        <w:rPr>
          <w:rFonts w:ascii="Helvetica" w:hAnsi="Helvetica" w:cs="Arial"/>
          <w:sz w:val="20"/>
          <w:szCs w:val="24"/>
          <w:lang w:val="lt-LT"/>
        </w:rPr>
        <w:t>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yra farmaci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niame produkte</w:t>
      </w:r>
      <w:r w:rsidRPr="00FE03F6">
        <w:rPr>
          <w:rFonts w:ascii="Helvetica" w:hAnsi="Helvetica" w:cs="Arial"/>
          <w:sz w:val="20"/>
          <w:szCs w:val="24"/>
          <w:lang w:val="lt-LT"/>
        </w:rPr>
        <w:t>, apimanči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ame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114,3 mg/ml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buferį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10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pagrind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u</w:t>
      </w:r>
      <w:r w:rsidRPr="00FE03F6">
        <w:rPr>
          <w:rFonts w:ascii="Helvetica" w:hAnsi="Helvetica" w:cs="Arial"/>
          <w:sz w:val="20"/>
          <w:szCs w:val="24"/>
          <w:lang w:val="lt-LT"/>
        </w:rPr>
        <w:t>, 5 % (m/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V</w:t>
      </w:r>
      <w:r w:rsidRPr="00FE03F6">
        <w:rPr>
          <w:rFonts w:ascii="Helvetica" w:hAnsi="Helvetica" w:cs="Arial"/>
          <w:sz w:val="20"/>
          <w:szCs w:val="24"/>
          <w:lang w:val="lt-LT"/>
        </w:rPr>
        <w:t>) sacharozės, 0,03 % (m/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>V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20 ir 50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L-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 pH 5,8.</w:t>
      </w:r>
    </w:p>
    <w:p w14:paraId="1298DFF7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971D6C" w14:textId="2249C4E9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15.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1–11 punktų, kur </w:t>
      </w:r>
      <w:proofErr w:type="spellStart"/>
      <w:r w:rsidR="002E2EE3" w:rsidRPr="00FE03F6">
        <w:rPr>
          <w:rFonts w:ascii="Helvetica" w:hAnsi="Helvetica" w:cs="Arial"/>
          <w:sz w:val="20"/>
          <w:szCs w:val="24"/>
          <w:lang w:val="lt-LT"/>
        </w:rPr>
        <w:t>a</w:t>
      </w:r>
      <w:r w:rsidRPr="00FE03F6">
        <w:rPr>
          <w:rFonts w:ascii="Helvetica" w:hAnsi="Helvetica" w:cs="Arial"/>
          <w:sz w:val="20"/>
          <w:szCs w:val="24"/>
          <w:lang w:val="lt-LT"/>
        </w:rPr>
        <w:t>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iš anksto </w:t>
      </w:r>
      <w:r w:rsidRPr="00FE03F6">
        <w:rPr>
          <w:rFonts w:ascii="Helvetica" w:hAnsi="Helvetica" w:cs="Arial"/>
          <w:sz w:val="20"/>
          <w:szCs w:val="24"/>
          <w:lang w:val="lt-LT"/>
        </w:rPr>
        <w:t>užpildytame švirkšte.</w:t>
      </w:r>
    </w:p>
    <w:p w14:paraId="2D2581C4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006EB8" w14:textId="194A8B3C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16.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 skirtas naudoti pagal 15 punktą, kur iš anksto užpildytas švirkštas yra stiklinis arba plastikinis ir (arba) sterilus.</w:t>
      </w:r>
    </w:p>
    <w:p w14:paraId="44A3D0BF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3E991C6" w14:textId="54F143CE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17.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 skirtas naudoti pagal bet kurį iš 1–16 punktų, kur minėta 8 mg ± 0,8 mg yra 8 mg dozė.</w:t>
      </w:r>
    </w:p>
    <w:p w14:paraId="4459F03A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61DE15" w14:textId="274B1FA1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18.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>, skirtas naudoti pagal bet kurį iš 1–17 punktų, kur minėtas ± 0,8 mg yra ± 0,5 mg arba ± 0,51 mg.</w:t>
      </w:r>
    </w:p>
    <w:p w14:paraId="614CA1AF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BE8B425" w14:textId="77CCCB86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19.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1–18 punktų, kur minėtas </w:t>
      </w:r>
      <w:proofErr w:type="spellStart"/>
      <w:r w:rsidR="002E2EE3" w:rsidRPr="00FE03F6">
        <w:rPr>
          <w:rFonts w:ascii="Helvetica" w:hAnsi="Helvetica" w:cs="Arial"/>
          <w:sz w:val="20"/>
          <w:szCs w:val="24"/>
          <w:lang w:val="lt-LT"/>
        </w:rPr>
        <w:t>a</w:t>
      </w:r>
      <w:r w:rsidRPr="00FE03F6">
        <w:rPr>
          <w:rFonts w:ascii="Helvetica" w:hAnsi="Helvetica" w:cs="Arial"/>
          <w:sz w:val="20"/>
          <w:szCs w:val="24"/>
          <w:lang w:val="lt-LT"/>
        </w:rPr>
        <w:t>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yra tiekiamas 70, 81, 82, 81,7, 85, 86, 87, 85–87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mikrolitrų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± 4, 4,45, 4,5 arba 5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mikrolitrų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tūriu.</w:t>
      </w:r>
    </w:p>
    <w:p w14:paraId="15B89825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A00DBC" w14:textId="24781AAE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20.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1–19 punktų, kur minėtas </w:t>
      </w:r>
      <w:proofErr w:type="spellStart"/>
      <w:r w:rsidR="002E2EE3" w:rsidRPr="00FE03F6">
        <w:rPr>
          <w:rFonts w:ascii="Helvetica" w:hAnsi="Helvetica" w:cs="Arial"/>
          <w:sz w:val="20"/>
          <w:szCs w:val="24"/>
          <w:lang w:val="lt-LT"/>
        </w:rPr>
        <w:t>a</w:t>
      </w:r>
      <w:r w:rsidRPr="00FE03F6">
        <w:rPr>
          <w:rFonts w:ascii="Helvetica" w:hAnsi="Helvetica" w:cs="Arial"/>
          <w:sz w:val="20"/>
          <w:szCs w:val="24"/>
          <w:lang w:val="lt-LT"/>
        </w:rPr>
        <w:t>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yra tiekiamas 70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mikrolitrų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tūriu.</w:t>
      </w:r>
    </w:p>
    <w:p w14:paraId="6FFF6880" w14:textId="77777777" w:rsidR="002E2EE3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9764E6" w14:textId="7368092D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21.</w:t>
      </w:r>
      <w:r w:rsidR="002E2EE3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1–20 punktų, kur minėtas </w:t>
      </w:r>
      <w:proofErr w:type="spellStart"/>
      <w:r w:rsidR="002E2EE3" w:rsidRPr="00FE03F6">
        <w:rPr>
          <w:rFonts w:ascii="Helvetica" w:hAnsi="Helvetica" w:cs="Arial"/>
          <w:sz w:val="20"/>
          <w:szCs w:val="24"/>
          <w:lang w:val="lt-LT"/>
        </w:rPr>
        <w:t>a</w:t>
      </w:r>
      <w:r w:rsidRPr="00FE03F6">
        <w:rPr>
          <w:rFonts w:ascii="Helvetica" w:hAnsi="Helvetica" w:cs="Arial"/>
          <w:sz w:val="20"/>
          <w:szCs w:val="24"/>
          <w:lang w:val="lt-LT"/>
        </w:rPr>
        <w:t>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yra:</w:t>
      </w:r>
    </w:p>
    <w:p w14:paraId="2B06BE46" w14:textId="52244E27" w:rsidR="00271110" w:rsidRPr="00FE03F6" w:rsidRDefault="002E2EE3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(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a)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tiekiama 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>į stiklakūnį suleidžiama doz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e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>, naudojant dozės tiekimo prietaisą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, kuris yra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 xml:space="preserve"> švirkšt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as</w:t>
      </w:r>
      <w:r w:rsidR="00271110" w:rsidRPr="00FE03F6">
        <w:rPr>
          <w:rFonts w:ascii="Helvetica" w:hAnsi="Helvetica" w:cs="Arial"/>
          <w:sz w:val="20"/>
          <w:szCs w:val="24"/>
          <w:lang w:val="lt-LT"/>
        </w:rPr>
        <w:t>; ir (arba)</w:t>
      </w:r>
    </w:p>
    <w:p w14:paraId="3CBE3A6D" w14:textId="31720025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įvedamas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į stiklakūnį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 xml:space="preserve"> injekcijos būdu</w:t>
      </w:r>
      <w:r w:rsidRPr="00FE03F6">
        <w:rPr>
          <w:rFonts w:ascii="Helvetica" w:hAnsi="Helvetica" w:cs="Arial"/>
          <w:sz w:val="20"/>
          <w:szCs w:val="24"/>
          <w:lang w:val="lt-LT"/>
        </w:rPr>
        <w:t>, kurio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s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tūr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į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nustat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o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 prietais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as</w:t>
      </w:r>
      <w:r w:rsidRPr="00FE03F6">
        <w:rPr>
          <w:rFonts w:ascii="Helvetica" w:hAnsi="Helvetica" w:cs="Arial"/>
          <w:sz w:val="20"/>
          <w:szCs w:val="24"/>
          <w:lang w:val="lt-LT"/>
        </w:rPr>
        <w:t>.</w:t>
      </w:r>
    </w:p>
    <w:p w14:paraId="23A6021D" w14:textId="77777777" w:rsidR="009B262A" w:rsidRPr="00FE03F6" w:rsidRDefault="009B262A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0447A9" w14:textId="30093BBA" w:rsidR="00271110" w:rsidRPr="00FE03F6" w:rsidRDefault="00271110" w:rsidP="00FE03F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>22.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E03F6">
        <w:rPr>
          <w:rFonts w:ascii="Helvetica" w:hAnsi="Helvetica" w:cs="Arial"/>
          <w:sz w:val="20"/>
          <w:szCs w:val="24"/>
          <w:lang w:val="lt-LT"/>
        </w:rPr>
        <w:t>Afliberceptas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, skirtas naudoti pagal bet kurį iš 1–21 punktų, kur </w:t>
      </w:r>
      <w:proofErr w:type="spellStart"/>
      <w:r w:rsidR="009B262A" w:rsidRPr="00FE03F6">
        <w:rPr>
          <w:rFonts w:ascii="Helvetica" w:hAnsi="Helvetica" w:cs="Arial"/>
          <w:sz w:val="20"/>
          <w:szCs w:val="24"/>
          <w:lang w:val="lt-LT"/>
        </w:rPr>
        <w:t>a</w:t>
      </w:r>
      <w:r w:rsidRPr="00FE03F6">
        <w:rPr>
          <w:rFonts w:ascii="Helvetica" w:hAnsi="Helvetica" w:cs="Arial"/>
          <w:sz w:val="20"/>
          <w:szCs w:val="24"/>
          <w:lang w:val="lt-LT"/>
        </w:rPr>
        <w:t>fliberceptas</w:t>
      </w:r>
      <w:proofErr w:type="spellEnd"/>
      <w:r w:rsidRPr="00FE03F6">
        <w:rPr>
          <w:rFonts w:ascii="Helvetica" w:hAnsi="Helvetica" w:cs="Arial"/>
          <w:sz w:val="20"/>
          <w:szCs w:val="24"/>
          <w:lang w:val="lt-LT"/>
        </w:rPr>
        <w:t xml:space="preserve"> yra įvedamas į stiklakūnį injekcijos būdu, naudojant 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 xml:space="preserve">produktą, apimantį 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VEGF receptoriaus susiliejimo baltymą su iš anksto užpildytu švirkštu, kur minėtas 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bū</w:t>
      </w:r>
      <w:r w:rsidRPr="00FE03F6">
        <w:rPr>
          <w:rFonts w:ascii="Helvetica" w:hAnsi="Helvetica" w:cs="Arial"/>
          <w:sz w:val="20"/>
          <w:szCs w:val="24"/>
          <w:lang w:val="lt-LT"/>
        </w:rPr>
        <w:t xml:space="preserve">das apima šiuos </w:t>
      </w:r>
      <w:r w:rsidR="009B262A" w:rsidRPr="00FE03F6">
        <w:rPr>
          <w:rFonts w:ascii="Helvetica" w:hAnsi="Helvetica" w:cs="Arial"/>
          <w:sz w:val="20"/>
          <w:szCs w:val="24"/>
          <w:lang w:val="lt-LT"/>
        </w:rPr>
        <w:t>etapus</w:t>
      </w:r>
      <w:r w:rsidRPr="00FE03F6">
        <w:rPr>
          <w:rFonts w:ascii="Helvetica" w:hAnsi="Helvetica" w:cs="Arial"/>
          <w:sz w:val="20"/>
          <w:szCs w:val="24"/>
          <w:lang w:val="lt-LT"/>
        </w:rPr>
        <w:t>:</w:t>
      </w:r>
    </w:p>
    <w:p w14:paraId="083E0473" w14:textId="13D68FD5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(a) </w:t>
      </w:r>
      <w:r w:rsidR="005944D5" w:rsidRPr="00FE03F6">
        <w:rPr>
          <w:rFonts w:ascii="Helvetica" w:hAnsi="Helvetica" w:cs="Arial"/>
          <w:sz w:val="20"/>
          <w:szCs w:val="24"/>
          <w:lang w:val="lt-LT"/>
        </w:rPr>
        <w:t>švirkšto paruošimas, stumdant stūmoklio strypą į priekį nustatytu atstumu į korpusą, kol stūmoklio strypo judėjimas sustabdomas stabdžiu</w:t>
      </w:r>
      <w:r w:rsidRPr="00FE03F6">
        <w:rPr>
          <w:rFonts w:ascii="Helvetica" w:hAnsi="Helvetica" w:cs="Arial"/>
          <w:sz w:val="20"/>
          <w:szCs w:val="24"/>
          <w:lang w:val="lt-LT"/>
        </w:rPr>
        <w:t>;</w:t>
      </w:r>
    </w:p>
    <w:p w14:paraId="4E3D7263" w14:textId="01812196" w:rsidR="00271110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="005944D5" w:rsidRPr="00FE03F6">
        <w:rPr>
          <w:rFonts w:ascii="Helvetica" w:hAnsi="Helvetica" w:cs="Arial"/>
          <w:sz w:val="20"/>
          <w:szCs w:val="24"/>
          <w:lang w:val="lt-LT"/>
        </w:rPr>
        <w:t>stūmoklio strypo sukimas apie išilginę ašį</w:t>
      </w:r>
      <w:r w:rsidRPr="00FE03F6">
        <w:rPr>
          <w:rFonts w:ascii="Helvetica" w:hAnsi="Helvetica" w:cs="Arial"/>
          <w:sz w:val="20"/>
          <w:szCs w:val="24"/>
          <w:lang w:val="lt-LT"/>
        </w:rPr>
        <w:t>; ir</w:t>
      </w:r>
    </w:p>
    <w:p w14:paraId="71BDE0EC" w14:textId="38F31A01" w:rsidR="00002703" w:rsidRPr="00FE03F6" w:rsidRDefault="00271110" w:rsidP="00FE03F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E03F6">
        <w:rPr>
          <w:rFonts w:ascii="Helvetica" w:hAnsi="Helvetica" w:cs="Arial"/>
          <w:sz w:val="20"/>
          <w:szCs w:val="24"/>
          <w:lang w:val="lt-LT"/>
        </w:rPr>
        <w:t xml:space="preserve">(c) </w:t>
      </w:r>
      <w:r w:rsidR="005944D5" w:rsidRPr="00FE03F6">
        <w:rPr>
          <w:rFonts w:ascii="Helvetica" w:hAnsi="Helvetica" w:cs="Arial"/>
          <w:sz w:val="20"/>
          <w:szCs w:val="24"/>
          <w:lang w:val="lt-LT"/>
        </w:rPr>
        <w:t>stūmoklio strypo aktyvavimas tam, kad būtų išleistas iš anksto nustatytas preparato tūris</w:t>
      </w:r>
      <w:r w:rsidRPr="00FE03F6">
        <w:rPr>
          <w:rFonts w:ascii="Helvetica" w:hAnsi="Helvetica" w:cs="Arial"/>
          <w:sz w:val="20"/>
          <w:szCs w:val="24"/>
          <w:lang w:val="lt-LT"/>
        </w:rPr>
        <w:t>.</w:t>
      </w:r>
    </w:p>
    <w:sectPr w:rsidR="00002703" w:rsidRPr="00FE03F6" w:rsidSect="00FE03F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855A" w14:textId="77777777" w:rsidR="00B03808" w:rsidRDefault="00B03808" w:rsidP="007B0A41">
      <w:pPr>
        <w:spacing w:after="0" w:line="240" w:lineRule="auto"/>
      </w:pPr>
      <w:r>
        <w:separator/>
      </w:r>
    </w:p>
  </w:endnote>
  <w:endnote w:type="continuationSeparator" w:id="0">
    <w:p w14:paraId="6F1669E3" w14:textId="77777777" w:rsidR="00B03808" w:rsidRDefault="00B0380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E443" w14:textId="77777777" w:rsidR="00B03808" w:rsidRDefault="00B03808" w:rsidP="007B0A41">
      <w:pPr>
        <w:spacing w:after="0" w:line="240" w:lineRule="auto"/>
      </w:pPr>
      <w:r>
        <w:separator/>
      </w:r>
    </w:p>
  </w:footnote>
  <w:footnote w:type="continuationSeparator" w:id="0">
    <w:p w14:paraId="7E33E24C" w14:textId="77777777" w:rsidR="00B03808" w:rsidRDefault="00B0380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2703"/>
    <w:rsid w:val="00007436"/>
    <w:rsid w:val="00010A56"/>
    <w:rsid w:val="00035E1E"/>
    <w:rsid w:val="0004023E"/>
    <w:rsid w:val="00050629"/>
    <w:rsid w:val="00052CC3"/>
    <w:rsid w:val="00065F0D"/>
    <w:rsid w:val="00070D8A"/>
    <w:rsid w:val="000816AE"/>
    <w:rsid w:val="0008731C"/>
    <w:rsid w:val="00092D0B"/>
    <w:rsid w:val="000D5C84"/>
    <w:rsid w:val="00114CEC"/>
    <w:rsid w:val="00120AC9"/>
    <w:rsid w:val="00121D84"/>
    <w:rsid w:val="001308ED"/>
    <w:rsid w:val="001411C3"/>
    <w:rsid w:val="00145EBC"/>
    <w:rsid w:val="001668DF"/>
    <w:rsid w:val="00192F10"/>
    <w:rsid w:val="001A0135"/>
    <w:rsid w:val="001A3E8E"/>
    <w:rsid w:val="001C33D1"/>
    <w:rsid w:val="001F266E"/>
    <w:rsid w:val="001F5FCD"/>
    <w:rsid w:val="00206546"/>
    <w:rsid w:val="00215E69"/>
    <w:rsid w:val="00220DDC"/>
    <w:rsid w:val="00223739"/>
    <w:rsid w:val="00223910"/>
    <w:rsid w:val="00234E11"/>
    <w:rsid w:val="002505A3"/>
    <w:rsid w:val="0025675F"/>
    <w:rsid w:val="00260D4E"/>
    <w:rsid w:val="00263A3E"/>
    <w:rsid w:val="00270962"/>
    <w:rsid w:val="00271110"/>
    <w:rsid w:val="0027543F"/>
    <w:rsid w:val="002805A1"/>
    <w:rsid w:val="00281278"/>
    <w:rsid w:val="002815BC"/>
    <w:rsid w:val="002837FC"/>
    <w:rsid w:val="0029749A"/>
    <w:rsid w:val="002D21AE"/>
    <w:rsid w:val="002E2EE3"/>
    <w:rsid w:val="0030757D"/>
    <w:rsid w:val="00316FB7"/>
    <w:rsid w:val="003349AE"/>
    <w:rsid w:val="0033671B"/>
    <w:rsid w:val="00360E2B"/>
    <w:rsid w:val="003700E9"/>
    <w:rsid w:val="00382149"/>
    <w:rsid w:val="003825E2"/>
    <w:rsid w:val="003924B8"/>
    <w:rsid w:val="00393325"/>
    <w:rsid w:val="0039374D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21C5B"/>
    <w:rsid w:val="00431822"/>
    <w:rsid w:val="004361EB"/>
    <w:rsid w:val="00437D3F"/>
    <w:rsid w:val="00442300"/>
    <w:rsid w:val="00477F70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E4F2B"/>
    <w:rsid w:val="004F110E"/>
    <w:rsid w:val="004F35B0"/>
    <w:rsid w:val="00501F3F"/>
    <w:rsid w:val="00510879"/>
    <w:rsid w:val="00510C7D"/>
    <w:rsid w:val="00520A99"/>
    <w:rsid w:val="00523254"/>
    <w:rsid w:val="00524721"/>
    <w:rsid w:val="00525499"/>
    <w:rsid w:val="0053198F"/>
    <w:rsid w:val="0054327A"/>
    <w:rsid w:val="00560B7D"/>
    <w:rsid w:val="00564911"/>
    <w:rsid w:val="00570509"/>
    <w:rsid w:val="00592BC5"/>
    <w:rsid w:val="00593A5A"/>
    <w:rsid w:val="005944D5"/>
    <w:rsid w:val="0059478E"/>
    <w:rsid w:val="005A0BED"/>
    <w:rsid w:val="005A1D19"/>
    <w:rsid w:val="005A7E9F"/>
    <w:rsid w:val="005C4A77"/>
    <w:rsid w:val="005C6AEA"/>
    <w:rsid w:val="005D37DF"/>
    <w:rsid w:val="005E21CB"/>
    <w:rsid w:val="005F128A"/>
    <w:rsid w:val="005F62B9"/>
    <w:rsid w:val="00601E69"/>
    <w:rsid w:val="006049CC"/>
    <w:rsid w:val="00617E21"/>
    <w:rsid w:val="00620797"/>
    <w:rsid w:val="006375BB"/>
    <w:rsid w:val="00672E85"/>
    <w:rsid w:val="00675FB8"/>
    <w:rsid w:val="0067677C"/>
    <w:rsid w:val="00683EAE"/>
    <w:rsid w:val="00690F58"/>
    <w:rsid w:val="006A20BA"/>
    <w:rsid w:val="006A5176"/>
    <w:rsid w:val="006A6452"/>
    <w:rsid w:val="006B1A30"/>
    <w:rsid w:val="006C3CD4"/>
    <w:rsid w:val="006C4C04"/>
    <w:rsid w:val="006C5EA4"/>
    <w:rsid w:val="006C673E"/>
    <w:rsid w:val="006D15AB"/>
    <w:rsid w:val="006F3C77"/>
    <w:rsid w:val="006F52F9"/>
    <w:rsid w:val="00703E54"/>
    <w:rsid w:val="0071589D"/>
    <w:rsid w:val="0072141D"/>
    <w:rsid w:val="007256F5"/>
    <w:rsid w:val="007265BB"/>
    <w:rsid w:val="00735A0D"/>
    <w:rsid w:val="0074317D"/>
    <w:rsid w:val="007752B9"/>
    <w:rsid w:val="007760A8"/>
    <w:rsid w:val="00780575"/>
    <w:rsid w:val="00790202"/>
    <w:rsid w:val="00792C7E"/>
    <w:rsid w:val="00795D58"/>
    <w:rsid w:val="007A4B6F"/>
    <w:rsid w:val="007B0A41"/>
    <w:rsid w:val="007B130D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14359"/>
    <w:rsid w:val="0082514C"/>
    <w:rsid w:val="008261A6"/>
    <w:rsid w:val="008309E7"/>
    <w:rsid w:val="00837B1E"/>
    <w:rsid w:val="00841C16"/>
    <w:rsid w:val="00843F06"/>
    <w:rsid w:val="00851ABA"/>
    <w:rsid w:val="00852F46"/>
    <w:rsid w:val="008632E9"/>
    <w:rsid w:val="00864E7D"/>
    <w:rsid w:val="008650E7"/>
    <w:rsid w:val="00882EF1"/>
    <w:rsid w:val="00886FF4"/>
    <w:rsid w:val="00895F91"/>
    <w:rsid w:val="008A1EE2"/>
    <w:rsid w:val="008A7B6E"/>
    <w:rsid w:val="008B16D2"/>
    <w:rsid w:val="008B41AC"/>
    <w:rsid w:val="008C60D6"/>
    <w:rsid w:val="008D0977"/>
    <w:rsid w:val="008D4E61"/>
    <w:rsid w:val="008E0E9E"/>
    <w:rsid w:val="0090596D"/>
    <w:rsid w:val="00907FD8"/>
    <w:rsid w:val="00916226"/>
    <w:rsid w:val="009371BA"/>
    <w:rsid w:val="00947ACD"/>
    <w:rsid w:val="00963C86"/>
    <w:rsid w:val="00971B8A"/>
    <w:rsid w:val="00972206"/>
    <w:rsid w:val="009766FA"/>
    <w:rsid w:val="0098532A"/>
    <w:rsid w:val="00992879"/>
    <w:rsid w:val="00994570"/>
    <w:rsid w:val="009A75B6"/>
    <w:rsid w:val="009B262A"/>
    <w:rsid w:val="009B2E35"/>
    <w:rsid w:val="009B6C12"/>
    <w:rsid w:val="009C10C1"/>
    <w:rsid w:val="009D3511"/>
    <w:rsid w:val="009D77D6"/>
    <w:rsid w:val="00A02F0C"/>
    <w:rsid w:val="00A07615"/>
    <w:rsid w:val="00A211CF"/>
    <w:rsid w:val="00A22BBD"/>
    <w:rsid w:val="00A4282B"/>
    <w:rsid w:val="00A51B6C"/>
    <w:rsid w:val="00A534B9"/>
    <w:rsid w:val="00A7684A"/>
    <w:rsid w:val="00A93DF2"/>
    <w:rsid w:val="00AA3A1F"/>
    <w:rsid w:val="00AD2397"/>
    <w:rsid w:val="00AD4691"/>
    <w:rsid w:val="00AE1ECB"/>
    <w:rsid w:val="00AE51EA"/>
    <w:rsid w:val="00B03808"/>
    <w:rsid w:val="00B2074A"/>
    <w:rsid w:val="00B226B6"/>
    <w:rsid w:val="00B347CF"/>
    <w:rsid w:val="00B456BD"/>
    <w:rsid w:val="00B47701"/>
    <w:rsid w:val="00B539B8"/>
    <w:rsid w:val="00B60A59"/>
    <w:rsid w:val="00B6516C"/>
    <w:rsid w:val="00B65625"/>
    <w:rsid w:val="00B657C4"/>
    <w:rsid w:val="00B67649"/>
    <w:rsid w:val="00B70727"/>
    <w:rsid w:val="00B72BD3"/>
    <w:rsid w:val="00B76165"/>
    <w:rsid w:val="00B81266"/>
    <w:rsid w:val="00B81287"/>
    <w:rsid w:val="00B81AB2"/>
    <w:rsid w:val="00B86C5A"/>
    <w:rsid w:val="00B96506"/>
    <w:rsid w:val="00BA0B06"/>
    <w:rsid w:val="00BA0DAE"/>
    <w:rsid w:val="00BA2E9F"/>
    <w:rsid w:val="00BD2789"/>
    <w:rsid w:val="00BD3A25"/>
    <w:rsid w:val="00BD7E27"/>
    <w:rsid w:val="00BE23C9"/>
    <w:rsid w:val="00BE60D0"/>
    <w:rsid w:val="00C1001A"/>
    <w:rsid w:val="00C156FA"/>
    <w:rsid w:val="00C2570D"/>
    <w:rsid w:val="00C26B30"/>
    <w:rsid w:val="00C26C67"/>
    <w:rsid w:val="00C30968"/>
    <w:rsid w:val="00C323DA"/>
    <w:rsid w:val="00C34317"/>
    <w:rsid w:val="00C36D15"/>
    <w:rsid w:val="00C43E47"/>
    <w:rsid w:val="00C72847"/>
    <w:rsid w:val="00C74A98"/>
    <w:rsid w:val="00C86A17"/>
    <w:rsid w:val="00C86DA9"/>
    <w:rsid w:val="00C91715"/>
    <w:rsid w:val="00C93BF9"/>
    <w:rsid w:val="00C94E78"/>
    <w:rsid w:val="00C96549"/>
    <w:rsid w:val="00CA2991"/>
    <w:rsid w:val="00CB451A"/>
    <w:rsid w:val="00CC28BC"/>
    <w:rsid w:val="00CC4575"/>
    <w:rsid w:val="00CD04F3"/>
    <w:rsid w:val="00CD23AF"/>
    <w:rsid w:val="00CD2F29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619A6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15799"/>
    <w:rsid w:val="00E2583B"/>
    <w:rsid w:val="00E321B7"/>
    <w:rsid w:val="00E87846"/>
    <w:rsid w:val="00E87AD2"/>
    <w:rsid w:val="00E90835"/>
    <w:rsid w:val="00EB03E6"/>
    <w:rsid w:val="00EC3343"/>
    <w:rsid w:val="00EE154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93BBB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03F6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C8388E4D-3B3D-4A96-8A15-AF424E5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11</cp:revision>
  <dcterms:created xsi:type="dcterms:W3CDTF">2025-09-09T13:27:00Z</dcterms:created>
  <dcterms:modified xsi:type="dcterms:W3CDTF">2025-10-31T08:12:00Z</dcterms:modified>
</cp:coreProperties>
</file>