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5390" w14:textId="289C11C8" w:rsidR="00A45B03" w:rsidRPr="00CE2882" w:rsidRDefault="00BA2E9F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Skysta farmacinė kompozicija, skirta vartoti per burną, apimanti </w:t>
      </w:r>
      <w:proofErr w:type="spellStart"/>
      <w:r w:rsidR="002D6EA4" w:rsidRPr="00CE2882">
        <w:rPr>
          <w:rFonts w:ascii="Helvetica" w:hAnsi="Helvetica" w:cs="Helvetica"/>
          <w:sz w:val="20"/>
          <w:szCs w:val="24"/>
          <w:lang w:val="lt-LT"/>
        </w:rPr>
        <w:t>bradikinino</w:t>
      </w:r>
      <w:proofErr w:type="spellEnd"/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(BK) B2 receptori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aus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antagonistą, kurio cheminė struktūra atitinka formulę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 1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, arba jo </w:t>
      </w:r>
      <w:proofErr w:type="spellStart"/>
      <w:r w:rsidR="002D6EA4" w:rsidRPr="00CE2882">
        <w:rPr>
          <w:rFonts w:ascii="Helvetica" w:hAnsi="Helvetica" w:cs="Helvetica"/>
          <w:sz w:val="20"/>
          <w:szCs w:val="24"/>
          <w:lang w:val="lt-LT"/>
        </w:rPr>
        <w:t>stereoizomerą</w:t>
      </w:r>
      <w:proofErr w:type="spellEnd"/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, druską arba </w:t>
      </w:r>
      <w:proofErr w:type="spellStart"/>
      <w:r w:rsidR="002D6EA4" w:rsidRPr="00CE2882">
        <w:rPr>
          <w:rFonts w:ascii="Helvetica" w:hAnsi="Helvetica" w:cs="Helvetica"/>
          <w:sz w:val="20"/>
          <w:szCs w:val="24"/>
          <w:lang w:val="lt-LT"/>
        </w:rPr>
        <w:t>solvatą</w:t>
      </w:r>
      <w:proofErr w:type="spellEnd"/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72D20433" w14:textId="175D92FA" w:rsidR="00A45B03" w:rsidRPr="00CE2882" w:rsidRDefault="00000000" w:rsidP="00CE288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pict w14:anchorId="7E204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9pt;height:163.35pt">
            <v:imagedata r:id="rId6" o:title=""/>
          </v:shape>
        </w:pict>
      </w:r>
    </w:p>
    <w:p w14:paraId="7FF0483D" w14:textId="7941E9C5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kur R yra deuteris arba vandenilis;</w:t>
      </w:r>
    </w:p>
    <w:p w14:paraId="401052E2" w14:textId="46315FCF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kur BK B2 receptoriaus antagonistas yra ištirpintas skystame nešiklyje, apimančiame propilen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monokaprilatą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aliejų ir propilen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>glikol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į</w:t>
      </w:r>
      <w:r w:rsidRPr="00CE2882">
        <w:rPr>
          <w:rFonts w:ascii="Helvetica" w:hAnsi="Helvetica" w:cs="Helvetica"/>
          <w:sz w:val="20"/>
          <w:szCs w:val="24"/>
          <w:lang w:val="lt-LT"/>
        </w:rPr>
        <w:t>.</w:t>
      </w:r>
    </w:p>
    <w:p w14:paraId="7F5EAB08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A4A76D7" w14:textId="13DEAE38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2.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Skysta farmacinė kompozicija pagal 1 punktą, kur BK B2 receptoriaus antagonistas yra 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junginys, kurio </w:t>
      </w:r>
      <w:r w:rsidRPr="00CE2882">
        <w:rPr>
          <w:rFonts w:ascii="Helvetica" w:hAnsi="Helvetica" w:cs="Helvetica"/>
          <w:sz w:val="20"/>
          <w:szCs w:val="24"/>
          <w:lang w:val="lt-LT"/>
        </w:rPr>
        <w:t>formulė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 1,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arba jo druska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,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solvatas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>, kur R yra deuteris.</w:t>
      </w:r>
    </w:p>
    <w:p w14:paraId="0B51C4E9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6E74A78" w14:textId="7CFD4ABA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3.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1 arba 2 punktą, kur propilen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kiekis skystame nešiklyje yra 40-60 masės %, skaičiuojant 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pagal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skysto nešiklio svor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į</w:t>
      </w:r>
      <w:r w:rsidRPr="00CE2882">
        <w:rPr>
          <w:rFonts w:ascii="Helvetica" w:hAnsi="Helvetica" w:cs="Helvetica"/>
          <w:sz w:val="20"/>
          <w:szCs w:val="24"/>
          <w:lang w:val="lt-LT"/>
        </w:rPr>
        <w:t>.</w:t>
      </w:r>
    </w:p>
    <w:p w14:paraId="0718A088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FC61F4" w14:textId="48EABB0E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4.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Skysta farmacinė kompozicija pagal bet kurį iš ankstesnių punktų, kur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aliejaus kiekis skystame nešiklyje yra 30-50 masės %, </w:t>
      </w:r>
      <w:r w:rsidR="00DC5FF6" w:rsidRPr="00CE2882">
        <w:rPr>
          <w:rFonts w:ascii="Helvetica" w:hAnsi="Helvetica" w:cs="Helvetica"/>
          <w:sz w:val="20"/>
          <w:szCs w:val="24"/>
          <w:lang w:val="lt-LT"/>
        </w:rPr>
        <w:t>skaičiuojant pagal skysto nešiklio svorį</w:t>
      </w:r>
      <w:r w:rsidRPr="00CE2882">
        <w:rPr>
          <w:rFonts w:ascii="Helvetica" w:hAnsi="Helvetica" w:cs="Helvetica"/>
          <w:sz w:val="20"/>
          <w:szCs w:val="24"/>
          <w:lang w:val="lt-LT"/>
        </w:rPr>
        <w:t>.</w:t>
      </w:r>
    </w:p>
    <w:p w14:paraId="6CE3352F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86441FF" w14:textId="3994486E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5.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bet kurį iš ankstesnių punktų, kur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kiekis yra 2,5-15 masės %,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skaičiuojant pagal skysto nešiklio svorį</w:t>
      </w:r>
      <w:r w:rsidRPr="00CE2882">
        <w:rPr>
          <w:rFonts w:ascii="Helvetica" w:hAnsi="Helvetica" w:cs="Helvetica"/>
          <w:sz w:val="20"/>
          <w:szCs w:val="24"/>
          <w:lang w:val="lt-LT"/>
        </w:rPr>
        <w:t>.</w:t>
      </w:r>
    </w:p>
    <w:p w14:paraId="57998FC3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50D3D3" w14:textId="5135C9F8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6.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bet kurį iš ankstesnių punktų, kur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monokaprilatas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yra II tipo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monokaprilatas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(USP/NF).</w:t>
      </w:r>
    </w:p>
    <w:p w14:paraId="3FDB3D75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9DA8B4" w14:textId="3BD017D9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7.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Skysta farmacinė kompozicija pagal bet kurį iš ankstesnių punktų, kur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aliejus yra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40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hidrintas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aliejus (USP/NF).</w:t>
      </w:r>
    </w:p>
    <w:p w14:paraId="76984131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845B95" w14:textId="0128F21F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8.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bet kurį iš ankstesnių punktų, kur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kiekis yra 50 masės %,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aliejaus kiekis yra 40 masės %,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ir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>glikolio kiekis yra 10 masės %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,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skaičiuojant pagal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bendr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ą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ricinos aliejaus ir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svorį </w:t>
      </w:r>
      <w:r w:rsidRPr="00CE2882">
        <w:rPr>
          <w:rFonts w:ascii="Helvetica" w:hAnsi="Helvetica" w:cs="Helvetica"/>
          <w:sz w:val="20"/>
          <w:szCs w:val="24"/>
          <w:lang w:val="lt-LT"/>
        </w:rPr>
        <w:t>skystame nešiklyje.</w:t>
      </w:r>
    </w:p>
    <w:p w14:paraId="48C533AB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0F6E53" w14:textId="414E3D96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9.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Skysta farmacinė kompozicija pagal bet kurį iš ankstesnių punktų,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kurioje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BK B2 receptoriaus antagonisto kiek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is skystoje farmacinėje kompozicijoje yra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ribose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nuo 5 mg iki 100 mg/g, pavyzdžiui, nuo 5 mg iki 65 mg/g, arba nuo 20 mg. iki 70 mg/g.</w:t>
      </w:r>
    </w:p>
    <w:p w14:paraId="7B0AF56A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AC64F2F" w14:textId="4CB37D84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10.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bet kurį iš ankstesnių punktų, iš esmės susidedanti iš:</w:t>
      </w:r>
    </w:p>
    <w:p w14:paraId="64D8857B" w14:textId="0D081C99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lastRenderedPageBreak/>
        <w:t xml:space="preserve">(a) skaičiuojant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pagal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bendr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ą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skystos farmacinės kompozicijos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svorį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CE2882">
        <w:rPr>
          <w:rFonts w:ascii="Helvetica" w:hAnsi="Helvetica" w:cs="Helvetica"/>
          <w:sz w:val="20"/>
          <w:szCs w:val="24"/>
          <w:lang w:val="lt-LT"/>
        </w:rPr>
        <w:t>0,5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E2882">
        <w:rPr>
          <w:rFonts w:ascii="Helvetica" w:hAnsi="Helvetica" w:cs="Helvetica"/>
          <w:sz w:val="20"/>
          <w:szCs w:val="24"/>
          <w:lang w:val="lt-LT"/>
        </w:rPr>
        <w:t>6,5 masės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%, pavyzdžiui, 5 masės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%, junginio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,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kurio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formul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ė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1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,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arba jo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stereoizomero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druskos arba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solvato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>, kur R yra deuteris;</w:t>
      </w:r>
    </w:p>
    <w:p w14:paraId="61859D7E" w14:textId="453AA5AE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skaičiuojant pagal bendrą skystos farmacinės kompozicijos svorį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CE2882">
        <w:rPr>
          <w:rFonts w:ascii="Helvetica" w:hAnsi="Helvetica" w:cs="Helvetica"/>
          <w:sz w:val="20"/>
          <w:szCs w:val="24"/>
          <w:lang w:val="lt-LT"/>
        </w:rPr>
        <w:t>93,5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99,5 masės % skysto nešiklio,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kur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skystas nešiklis iš esmės susideda iš:</w:t>
      </w:r>
    </w:p>
    <w:p w14:paraId="5DF7D47F" w14:textId="6F83EFFC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 xml:space="preserve">(i) 50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svorio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dalių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>, tokio kaip II tipo propilen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monokaprilatas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(USP/NF);</w:t>
      </w:r>
    </w:p>
    <w:p w14:paraId="079FF14B" w14:textId="33F23B7B" w:rsidR="002D6EA4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(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ii) 40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svorio dalių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2D6EA4"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ricinos aliejaus, </w:t>
      </w:r>
      <w:r w:rsidR="00267B68" w:rsidRPr="00CE2882">
        <w:rPr>
          <w:rFonts w:ascii="Helvetica" w:hAnsi="Helvetica" w:cs="Helvetica"/>
          <w:sz w:val="20"/>
          <w:szCs w:val="24"/>
          <w:lang w:val="lt-LT"/>
        </w:rPr>
        <w:t>tokio kaip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33899" w:rsidRPr="00CE2882">
        <w:rPr>
          <w:rFonts w:ascii="Helvetica" w:hAnsi="Helvetica" w:cs="Helvetica"/>
          <w:sz w:val="20"/>
          <w:szCs w:val="24"/>
          <w:lang w:val="lt-LT"/>
        </w:rPr>
        <w:t>polioksilo</w:t>
      </w:r>
      <w:proofErr w:type="spellEnd"/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 40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2D6EA4" w:rsidRPr="00CE2882">
        <w:rPr>
          <w:rFonts w:ascii="Helvetica" w:hAnsi="Helvetica" w:cs="Helvetica"/>
          <w:sz w:val="20"/>
          <w:szCs w:val="24"/>
          <w:lang w:val="lt-LT"/>
        </w:rPr>
        <w:t>hidrinto</w:t>
      </w:r>
      <w:proofErr w:type="spellEnd"/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ricinos aliejaus (USP/NF);</w:t>
      </w:r>
    </w:p>
    <w:p w14:paraId="1DF885F7" w14:textId="38E141C4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 xml:space="preserve">(iii) nuo 5 iki 10 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svorio dalių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propilen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glikolio; ir pasirinktinai (iv) iki 5 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svorio dalių </w:t>
      </w:r>
      <w:r w:rsidRPr="00CE2882">
        <w:rPr>
          <w:rFonts w:ascii="Helvetica" w:hAnsi="Helvetica" w:cs="Helvetica"/>
          <w:sz w:val="20"/>
          <w:szCs w:val="24"/>
          <w:lang w:val="lt-LT"/>
        </w:rPr>
        <w:t>vandens;</w:t>
      </w:r>
    </w:p>
    <w:p w14:paraId="623825A7" w14:textId="34A4E15B" w:rsidR="002D6EA4" w:rsidRPr="00CE2882" w:rsidRDefault="002D6EA4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ir pasirinktinai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,</w:t>
      </w:r>
    </w:p>
    <w:p w14:paraId="1F09581A" w14:textId="4FDF52DB" w:rsidR="002D6EA4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(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c) 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likusi dalis yra viena arba daugiau papildomų pagalbinių medžiagų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>, ištirp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intų</w:t>
      </w:r>
      <w:r w:rsidR="002D6EA4" w:rsidRPr="00CE2882">
        <w:rPr>
          <w:rFonts w:ascii="Helvetica" w:hAnsi="Helvetica" w:cs="Helvetica"/>
          <w:sz w:val="20"/>
          <w:szCs w:val="24"/>
          <w:lang w:val="lt-LT"/>
        </w:rPr>
        <w:t xml:space="preserve"> arba disperguotų skystame nešiklyje.</w:t>
      </w:r>
    </w:p>
    <w:p w14:paraId="7E17E5F3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6AF4FC" w14:textId="7F7D1BEC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11.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Peroraliniam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vartojimui skirta kapsulė, apimanti skystą farmacinę kompoziciją pagal bet kurį iš ankstesnių punktų.</w:t>
      </w:r>
    </w:p>
    <w:p w14:paraId="45383F3E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5A1AB89" w14:textId="547A4CF7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12.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Kapsulė pagal 11 punktą, kur kapsulė yra minkšta kapsulė.</w:t>
      </w:r>
    </w:p>
    <w:p w14:paraId="34BF8CC1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5B49AFD" w14:textId="623E9106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13.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Minkšta kapsulė pagal 12 punktą, apimanti kapsulės sienelę, kuri 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apima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želatin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ą</w:t>
      </w:r>
      <w:r w:rsidRPr="00CE2882">
        <w:rPr>
          <w:rFonts w:ascii="Helvetica" w:hAnsi="Helvetica" w:cs="Helvetica"/>
          <w:sz w:val="20"/>
          <w:szCs w:val="24"/>
          <w:lang w:val="lt-LT"/>
        </w:rPr>
        <w:t>, vand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enį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ir bent vien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ą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plastifikatori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ų</w:t>
      </w:r>
      <w:r w:rsidRPr="00CE2882">
        <w:rPr>
          <w:rFonts w:ascii="Helvetica" w:hAnsi="Helvetica" w:cs="Helvetica"/>
          <w:sz w:val="20"/>
          <w:szCs w:val="24"/>
          <w:lang w:val="lt-LT"/>
        </w:rPr>
        <w:t>, parinkt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ą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iš propilen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glikolio,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glicerolio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sorbitolio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sorbitano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sorbitolio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 xml:space="preserve"> pagrindu pagamintų plastifikatorių mišinių arba bet kokių jų derinių.</w:t>
      </w:r>
    </w:p>
    <w:p w14:paraId="3E88F8B8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D72C1C9" w14:textId="4BBB2362" w:rsidR="002D6EA4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14.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 pagal bet kurį iš 1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-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10 punktų arba kapsulė pagal bet kurį iš 11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-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13 punktų, skirt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os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ūmiam arba lėtam 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 xml:space="preserve">gydymui 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subjekto, </w:t>
      </w:r>
      <w:r w:rsidR="00933899" w:rsidRPr="00CE2882">
        <w:rPr>
          <w:rFonts w:ascii="Helvetica" w:hAnsi="Helvetica" w:cs="Helvetica"/>
          <w:sz w:val="20"/>
          <w:szCs w:val="24"/>
          <w:lang w:val="lt-LT"/>
        </w:rPr>
        <w:t>serg</w:t>
      </w:r>
      <w:r w:rsidRPr="00CE2882">
        <w:rPr>
          <w:rFonts w:ascii="Helvetica" w:hAnsi="Helvetica" w:cs="Helvetica"/>
          <w:sz w:val="20"/>
          <w:szCs w:val="24"/>
          <w:lang w:val="lt-LT"/>
        </w:rPr>
        <w:t>ančio lig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>a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>ba esančio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būklės, 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 xml:space="preserve">kai </w:t>
      </w:r>
      <w:r w:rsidRPr="00CE2882">
        <w:rPr>
          <w:rFonts w:ascii="Helvetica" w:hAnsi="Helvetica" w:cs="Helvetica"/>
          <w:sz w:val="20"/>
          <w:szCs w:val="24"/>
          <w:lang w:val="lt-LT"/>
        </w:rPr>
        <w:t>reaguoja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>ma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į BK B2 receptorių moduliavimą.</w:t>
      </w:r>
    </w:p>
    <w:p w14:paraId="7E0F84B5" w14:textId="77777777" w:rsidR="00A45B03" w:rsidRPr="00CE2882" w:rsidRDefault="00A45B03" w:rsidP="00CE288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D3BB160" w14:textId="38E273A4" w:rsidR="00B81266" w:rsidRPr="00CE2882" w:rsidRDefault="002D6EA4" w:rsidP="00CE288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E2882">
        <w:rPr>
          <w:rFonts w:ascii="Helvetica" w:hAnsi="Helvetica" w:cs="Helvetica"/>
          <w:sz w:val="20"/>
          <w:szCs w:val="24"/>
          <w:lang w:val="lt-LT"/>
        </w:rPr>
        <w:t>15.</w:t>
      </w:r>
      <w:r w:rsidR="00A45B03" w:rsidRPr="00CE288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E2882">
        <w:rPr>
          <w:rFonts w:ascii="Helvetica" w:hAnsi="Helvetica" w:cs="Helvetica"/>
          <w:sz w:val="20"/>
          <w:szCs w:val="24"/>
          <w:lang w:val="lt-LT"/>
        </w:rPr>
        <w:t>Skysta farmacinė kompozicija, skirta naudoti pagal 14 punktą, arba kapsulė, skirta naudoti pagal 14 punktą, kur liga arba būklė,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 xml:space="preserve"> kai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reaguoja</w:t>
      </w:r>
      <w:r w:rsidR="00722DAE" w:rsidRPr="00CE2882">
        <w:rPr>
          <w:rFonts w:ascii="Helvetica" w:hAnsi="Helvetica" w:cs="Helvetica"/>
          <w:sz w:val="20"/>
          <w:szCs w:val="24"/>
          <w:lang w:val="lt-LT"/>
        </w:rPr>
        <w:t>ma</w:t>
      </w:r>
      <w:r w:rsidRPr="00CE2882">
        <w:rPr>
          <w:rFonts w:ascii="Helvetica" w:hAnsi="Helvetica" w:cs="Helvetica"/>
          <w:sz w:val="20"/>
          <w:szCs w:val="24"/>
          <w:lang w:val="lt-LT"/>
        </w:rPr>
        <w:t xml:space="preserve"> į BK B2 receptoriaus moduliavimą, yra edema, tokia kaip paveldima </w:t>
      </w:r>
      <w:proofErr w:type="spellStart"/>
      <w:r w:rsidRPr="00CE2882">
        <w:rPr>
          <w:rFonts w:ascii="Helvetica" w:hAnsi="Helvetica" w:cs="Helvetica"/>
          <w:sz w:val="20"/>
          <w:szCs w:val="24"/>
          <w:lang w:val="lt-LT"/>
        </w:rPr>
        <w:t>angioedema</w:t>
      </w:r>
      <w:proofErr w:type="spellEnd"/>
      <w:r w:rsidRPr="00CE2882">
        <w:rPr>
          <w:rFonts w:ascii="Helvetica" w:hAnsi="Helvetica" w:cs="Helvetica"/>
          <w:sz w:val="20"/>
          <w:szCs w:val="24"/>
          <w:lang w:val="lt-LT"/>
        </w:rPr>
        <w:t>.</w:t>
      </w:r>
    </w:p>
    <w:sectPr w:rsidR="00B81266" w:rsidRPr="00CE2882" w:rsidSect="009D36E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2C50" w14:textId="77777777" w:rsidR="009D36E4" w:rsidRDefault="009D36E4" w:rsidP="007B0A41">
      <w:pPr>
        <w:spacing w:after="0" w:line="240" w:lineRule="auto"/>
      </w:pPr>
      <w:r>
        <w:separator/>
      </w:r>
    </w:p>
  </w:endnote>
  <w:endnote w:type="continuationSeparator" w:id="0">
    <w:p w14:paraId="0E8F9BA5" w14:textId="77777777" w:rsidR="009D36E4" w:rsidRDefault="009D36E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6559" w14:textId="77777777" w:rsidR="009D36E4" w:rsidRDefault="009D36E4" w:rsidP="007B0A41">
      <w:pPr>
        <w:spacing w:after="0" w:line="240" w:lineRule="auto"/>
      </w:pPr>
      <w:r>
        <w:separator/>
      </w:r>
    </w:p>
  </w:footnote>
  <w:footnote w:type="continuationSeparator" w:id="0">
    <w:p w14:paraId="526CF2C1" w14:textId="77777777" w:rsidR="009D36E4" w:rsidRDefault="009D36E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B46D1"/>
    <w:rsid w:val="000D5C84"/>
    <w:rsid w:val="00114CEC"/>
    <w:rsid w:val="00120AC9"/>
    <w:rsid w:val="00121D84"/>
    <w:rsid w:val="001308ED"/>
    <w:rsid w:val="00145EBC"/>
    <w:rsid w:val="001668DF"/>
    <w:rsid w:val="00190CCE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67B68"/>
    <w:rsid w:val="00270962"/>
    <w:rsid w:val="002837FC"/>
    <w:rsid w:val="0029749A"/>
    <w:rsid w:val="002D21AE"/>
    <w:rsid w:val="002D6EA4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E7618"/>
    <w:rsid w:val="006F52F9"/>
    <w:rsid w:val="00703E54"/>
    <w:rsid w:val="0072141D"/>
    <w:rsid w:val="00722DAE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33899"/>
    <w:rsid w:val="00947ACD"/>
    <w:rsid w:val="00963C86"/>
    <w:rsid w:val="00971B8A"/>
    <w:rsid w:val="00972206"/>
    <w:rsid w:val="009766FA"/>
    <w:rsid w:val="0098532A"/>
    <w:rsid w:val="00992879"/>
    <w:rsid w:val="00993124"/>
    <w:rsid w:val="009B2E35"/>
    <w:rsid w:val="009B6C12"/>
    <w:rsid w:val="009C10C1"/>
    <w:rsid w:val="009D36E4"/>
    <w:rsid w:val="009D77D6"/>
    <w:rsid w:val="00A02F0C"/>
    <w:rsid w:val="00A07615"/>
    <w:rsid w:val="00A22BBD"/>
    <w:rsid w:val="00A4282B"/>
    <w:rsid w:val="00A45B03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2882"/>
    <w:rsid w:val="00CE42D1"/>
    <w:rsid w:val="00CF70D6"/>
    <w:rsid w:val="00D15412"/>
    <w:rsid w:val="00D2134E"/>
    <w:rsid w:val="00D26E30"/>
    <w:rsid w:val="00D30F69"/>
    <w:rsid w:val="00D54A23"/>
    <w:rsid w:val="00D54DBC"/>
    <w:rsid w:val="00D55A30"/>
    <w:rsid w:val="00D56D60"/>
    <w:rsid w:val="00DB2CA9"/>
    <w:rsid w:val="00DB375D"/>
    <w:rsid w:val="00DC5FF6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49C"/>
    <w:rsid w:val="00FB5E50"/>
    <w:rsid w:val="00FB72FF"/>
    <w:rsid w:val="00FC4138"/>
    <w:rsid w:val="00FD103E"/>
    <w:rsid w:val="00FD2876"/>
    <w:rsid w:val="00FD3E6A"/>
    <w:rsid w:val="00FE0C59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3333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2024-04-04T11:16:00Z</dcterms:created>
  <dcterms:modified xsi:type="dcterms:W3CDTF">2024-04-11T06:24:00Z</dcterms:modified>
</cp:coreProperties>
</file>