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2EB38" w14:textId="77777777" w:rsidR="00CD11DD" w:rsidRPr="000331D0" w:rsidRDefault="00CD11DD" w:rsidP="000331D0">
      <w:pPr>
        <w:pStyle w:val="Sraopastraipa"/>
        <w:shd w:val="clear" w:color="auto" w:fill="FFFFFF"/>
        <w:spacing w:after="0" w:line="360" w:lineRule="auto"/>
        <w:ind w:left="0" w:firstLine="567"/>
        <w:jc w:val="both"/>
        <w:rPr>
          <w:rFonts w:ascii="Helvetica" w:eastAsia="Times New Roman" w:hAnsi="Helvetica" w:cs="Arial"/>
          <w:sz w:val="20"/>
          <w:szCs w:val="24"/>
          <w:lang w:val="lt-LT"/>
        </w:rPr>
      </w:pPr>
      <w:r w:rsidRPr="000331D0">
        <w:rPr>
          <w:rFonts w:ascii="Helvetica" w:eastAsia="Times New Roman" w:hAnsi="Helvetica" w:cs="Arial"/>
          <w:bCs/>
          <w:sz w:val="20"/>
          <w:szCs w:val="24"/>
          <w:lang w:val="lt-LT"/>
        </w:rPr>
        <w:t xml:space="preserve">1. </w:t>
      </w:r>
      <w:r w:rsidRPr="000331D0">
        <w:rPr>
          <w:rFonts w:ascii="Helvetica" w:eastAsia="Times New Roman" w:hAnsi="Helvetica" w:cs="Arial"/>
          <w:sz w:val="20"/>
          <w:szCs w:val="24"/>
          <w:lang w:val="lt-LT"/>
        </w:rPr>
        <w:t>Implantuojamas protezavimo įtaisas (100), skirtas įgimtam</w:t>
      </w:r>
      <w:r w:rsidRPr="000331D0">
        <w:rPr>
          <w:rFonts w:ascii="Helvetica" w:eastAsia="Times New Roman" w:hAnsi="Helvetica" w:cs="Arial"/>
          <w:color w:val="FF0000"/>
          <w:sz w:val="20"/>
          <w:szCs w:val="24"/>
          <w:lang w:val="lt-LT"/>
        </w:rPr>
        <w:t xml:space="preserve"> </w:t>
      </w:r>
      <w:proofErr w:type="spellStart"/>
      <w:r w:rsidRPr="000331D0">
        <w:rPr>
          <w:rFonts w:ascii="Helvetica" w:eastAsia="Times New Roman" w:hAnsi="Helvetica" w:cs="Arial"/>
          <w:sz w:val="20"/>
          <w:szCs w:val="24"/>
          <w:lang w:val="lt-LT"/>
        </w:rPr>
        <w:t>mitraliniam</w:t>
      </w:r>
      <w:proofErr w:type="spellEnd"/>
      <w:r w:rsidRPr="000331D0">
        <w:rPr>
          <w:rFonts w:ascii="Helvetica" w:eastAsia="Times New Roman" w:hAnsi="Helvetica" w:cs="Arial"/>
          <w:sz w:val="20"/>
          <w:szCs w:val="24"/>
          <w:lang w:val="lt-LT"/>
        </w:rPr>
        <w:t xml:space="preserve"> arba trišakiam vožtuvui taisyti, įtaisas apima:</w:t>
      </w:r>
    </w:p>
    <w:p w14:paraId="7DC676BE"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kooptacijos sekciją (104), apimančią tarpiklį (110), turintį ovalo skerspjūvio formą ir sukonfigūruotą taip, kad jis būtų įstatytas į įgimto širdies vožtuvo angą, kad padėtų sudaryti veiksmingesnį sandarumą tarp įgimtų</w:t>
      </w:r>
      <w:r w:rsidRPr="000331D0">
        <w:rPr>
          <w:rFonts w:ascii="Helvetica" w:eastAsia="Times New Roman" w:hAnsi="Helvetica" w:cs="Arial"/>
          <w:color w:val="FF0000"/>
          <w:sz w:val="20"/>
          <w:szCs w:val="24"/>
          <w:lang w:val="lt-LT"/>
        </w:rPr>
        <w:t xml:space="preserve"> </w:t>
      </w:r>
      <w:r w:rsidRPr="000331D0">
        <w:rPr>
          <w:rFonts w:ascii="Helvetica" w:eastAsia="Times New Roman" w:hAnsi="Helvetica" w:cs="Arial"/>
          <w:sz w:val="20"/>
          <w:szCs w:val="24"/>
          <w:lang w:val="lt-LT"/>
        </w:rPr>
        <w:t xml:space="preserve">burių (42, 44), taip sumažinant </w:t>
      </w:r>
      <w:proofErr w:type="spellStart"/>
      <w:r w:rsidRPr="000331D0">
        <w:rPr>
          <w:rFonts w:ascii="Helvetica" w:eastAsia="Times New Roman" w:hAnsi="Helvetica" w:cs="Arial"/>
          <w:sz w:val="20"/>
          <w:szCs w:val="24"/>
          <w:lang w:val="lt-LT"/>
        </w:rPr>
        <w:t>regurgitaciją</w:t>
      </w:r>
      <w:proofErr w:type="spellEnd"/>
      <w:r w:rsidRPr="000331D0">
        <w:rPr>
          <w:rFonts w:ascii="Helvetica" w:eastAsia="Times New Roman" w:hAnsi="Helvetica" w:cs="Arial"/>
          <w:sz w:val="20"/>
          <w:szCs w:val="24"/>
          <w:lang w:val="lt-LT"/>
        </w:rPr>
        <w:t xml:space="preserve"> arba jos prevencijai;</w:t>
      </w:r>
    </w:p>
    <w:p w14:paraId="41C64817"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 xml:space="preserve">tvirtinimo sekciją (106), apimančią daugybę mentelių (120, 122), mentelės (120, 122) gali būti perkeliamos iš uždaros padėties į atvirą padėtį, kad užfiksuotų įgimtas </w:t>
      </w:r>
      <w:proofErr w:type="spellStart"/>
      <w:r w:rsidRPr="000331D0">
        <w:rPr>
          <w:rFonts w:ascii="Helvetica" w:eastAsia="Times New Roman" w:hAnsi="Helvetica" w:cs="Arial"/>
          <w:sz w:val="20"/>
          <w:szCs w:val="24"/>
          <w:lang w:val="lt-LT"/>
        </w:rPr>
        <w:t>mitralinio</w:t>
      </w:r>
      <w:proofErr w:type="spellEnd"/>
      <w:r w:rsidRPr="000331D0">
        <w:rPr>
          <w:rFonts w:ascii="Helvetica" w:eastAsia="Times New Roman" w:hAnsi="Helvetica" w:cs="Arial"/>
          <w:sz w:val="20"/>
          <w:szCs w:val="24"/>
          <w:lang w:val="lt-LT"/>
        </w:rPr>
        <w:t xml:space="preserve"> arba trišakio vožtuvo bures (42, 44) tarp mentelių (120, 122) ir tarpiklio (110); ir</w:t>
      </w:r>
    </w:p>
    <w:p w14:paraId="6EC877F0"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gnybtą (3000), apimantį:</w:t>
      </w:r>
    </w:p>
    <w:p w14:paraId="1BAE2D5F"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pagrindą (3010);</w:t>
      </w:r>
    </w:p>
    <w:p w14:paraId="040F60AB"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daugybę galinčių judėti pečių (3030), kurių kiekvienas turi spygliuotą dalį (3040); ir</w:t>
      </w:r>
    </w:p>
    <w:p w14:paraId="5CFC3AB7"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 xml:space="preserve">daugybę šarnyrinių dalių (3020), </w:t>
      </w:r>
      <w:proofErr w:type="spellStart"/>
      <w:r w:rsidRPr="000331D0">
        <w:rPr>
          <w:rFonts w:ascii="Helvetica" w:eastAsia="Times New Roman" w:hAnsi="Helvetica" w:cs="Arial"/>
          <w:sz w:val="20"/>
          <w:szCs w:val="24"/>
          <w:lang w:val="lt-LT"/>
        </w:rPr>
        <w:t>šarnyriškai</w:t>
      </w:r>
      <w:proofErr w:type="spellEnd"/>
      <w:r w:rsidRPr="000331D0">
        <w:rPr>
          <w:rFonts w:ascii="Helvetica" w:eastAsia="Times New Roman" w:hAnsi="Helvetica" w:cs="Arial"/>
          <w:sz w:val="20"/>
          <w:szCs w:val="24"/>
          <w:lang w:val="lt-LT"/>
        </w:rPr>
        <w:t xml:space="preserve"> jungiančių galinčius judėti pečius (3030) su pagrindu (3010).</w:t>
      </w:r>
    </w:p>
    <w:p w14:paraId="536559F8"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7239509D"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2. Implantuojamas protezavimo įtaisas (100) pagal 1 punktą, kur tvirtinimo sekcija (106) pritvirtinta prie įjungimo</w:t>
      </w:r>
      <w:r w:rsidRPr="000331D0">
        <w:rPr>
          <w:rFonts w:ascii="Helvetica" w:eastAsia="Times New Roman" w:hAnsi="Helvetica" w:cs="Arial"/>
          <w:color w:val="FF0000"/>
          <w:sz w:val="20"/>
          <w:szCs w:val="24"/>
          <w:lang w:val="lt-LT"/>
        </w:rPr>
        <w:t xml:space="preserve"> </w:t>
      </w:r>
      <w:r w:rsidRPr="000331D0">
        <w:rPr>
          <w:rFonts w:ascii="Helvetica" w:eastAsia="Times New Roman" w:hAnsi="Helvetica" w:cs="Arial"/>
          <w:sz w:val="20"/>
          <w:szCs w:val="24"/>
          <w:lang w:val="lt-LT"/>
        </w:rPr>
        <w:t>priemonių, tokių kaip velenas arba įjungimo laidas (112), prie kurių taip pat pritvirtintas tarpiklis (110).</w:t>
      </w:r>
    </w:p>
    <w:p w14:paraId="1BD688DB"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104CE9BE"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3. Implantuojamas protezavimo įtaisas (100) pagal 2 punktą, kur tvirtinimo sekcija (106) ir tarpiklis (110) gali būti išdėstomi vienu metu, perkeliant tvirtinimo ir kooptacijos elementą kartu išilgai veleno arba įjungimo laido (112) išilginės ašies.</w:t>
      </w:r>
    </w:p>
    <w:p w14:paraId="71AFC9A1"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7FD71ABF"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4. Implantuojamas protezavimo įtaisas (100) pagal bet kurį iš ankstesnių punktų, kur gnybtas (3000) yra dvipusis spygliuotas gnybtas (3000), kurio šarnyrinės dalys (3020) ir galintys judėti pečiai (3030) tęsiasi iš abiejų pagrindo (3010) galų.</w:t>
      </w:r>
    </w:p>
    <w:p w14:paraId="7A2A1BED"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3C7E4DC1"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 xml:space="preserve">5. Implantuojamas protezavimo įtaisas (100) pagal bet kurį iš ankstesnių punktų, kur kiekvienas iš galinčių judėti pečių (3030) yra galintis judėti iš atviros padėties į uždarą padėtį, kad prispaustų įgimto </w:t>
      </w:r>
      <w:proofErr w:type="spellStart"/>
      <w:r w:rsidRPr="000331D0">
        <w:rPr>
          <w:rFonts w:ascii="Helvetica" w:eastAsia="Times New Roman" w:hAnsi="Helvetica" w:cs="Arial"/>
          <w:sz w:val="20"/>
          <w:szCs w:val="24"/>
          <w:lang w:val="lt-LT"/>
        </w:rPr>
        <w:t>mitralinio</w:t>
      </w:r>
      <w:proofErr w:type="spellEnd"/>
      <w:r w:rsidRPr="000331D0">
        <w:rPr>
          <w:rFonts w:ascii="Helvetica" w:eastAsia="Times New Roman" w:hAnsi="Helvetica" w:cs="Arial"/>
          <w:sz w:val="20"/>
          <w:szCs w:val="24"/>
          <w:lang w:val="lt-LT"/>
        </w:rPr>
        <w:t xml:space="preserve"> arba trišakio vožtuvo audinį prie atitinkamos vienos iš daugelio mentelių (120, 122).</w:t>
      </w:r>
    </w:p>
    <w:p w14:paraId="5479CC4A"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5F9F114A"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 xml:space="preserve">6. Įtaisas pagal bet kurį iš ankstesnių punktų, kur tarpiklis (110) sukonfigūruotas taip, kad savaime išsiplėstų iš </w:t>
      </w:r>
      <w:proofErr w:type="spellStart"/>
      <w:r w:rsidRPr="000331D0">
        <w:rPr>
          <w:rFonts w:ascii="Helvetica" w:eastAsia="Times New Roman" w:hAnsi="Helvetica" w:cs="Arial"/>
          <w:sz w:val="20"/>
          <w:szCs w:val="24"/>
          <w:lang w:val="lt-LT"/>
        </w:rPr>
        <w:t>radialiai</w:t>
      </w:r>
      <w:proofErr w:type="spellEnd"/>
      <w:r w:rsidRPr="000331D0">
        <w:rPr>
          <w:rFonts w:ascii="Helvetica" w:eastAsia="Times New Roman" w:hAnsi="Helvetica" w:cs="Arial"/>
          <w:sz w:val="20"/>
          <w:szCs w:val="24"/>
          <w:lang w:val="lt-LT"/>
        </w:rPr>
        <w:t xml:space="preserve"> suspaustos padėties į </w:t>
      </w:r>
      <w:proofErr w:type="spellStart"/>
      <w:r w:rsidRPr="000331D0">
        <w:rPr>
          <w:rFonts w:ascii="Helvetica" w:eastAsia="Times New Roman" w:hAnsi="Helvetica" w:cs="Arial"/>
          <w:sz w:val="20"/>
          <w:szCs w:val="24"/>
          <w:lang w:val="lt-LT"/>
        </w:rPr>
        <w:t>radialiai</w:t>
      </w:r>
      <w:proofErr w:type="spellEnd"/>
      <w:r w:rsidRPr="000331D0">
        <w:rPr>
          <w:rFonts w:ascii="Helvetica" w:eastAsia="Times New Roman" w:hAnsi="Helvetica" w:cs="Arial"/>
          <w:sz w:val="20"/>
          <w:szCs w:val="24"/>
          <w:lang w:val="lt-LT"/>
        </w:rPr>
        <w:t xml:space="preserve"> išplėstą padėtį.</w:t>
      </w:r>
    </w:p>
    <w:p w14:paraId="74673EFD"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37E85A76"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 xml:space="preserve">7. Įtaisas pagal 6 punktą, kur tarpiklis (110) suformuotas iš lanksčios medžiagos, kuri gali būti tinklelis, austas arba pintas, geriau, kai lanksti medžiaga yra iš formą įsimenančio lydinio, tokio kaip </w:t>
      </w:r>
      <w:proofErr w:type="spellStart"/>
      <w:r w:rsidRPr="000331D0">
        <w:rPr>
          <w:rFonts w:ascii="Helvetica" w:eastAsia="Times New Roman" w:hAnsi="Helvetica" w:cs="Arial"/>
          <w:sz w:val="20"/>
          <w:szCs w:val="24"/>
          <w:lang w:val="lt-LT"/>
        </w:rPr>
        <w:t>nitinolis</w:t>
      </w:r>
      <w:proofErr w:type="spellEnd"/>
      <w:r w:rsidRPr="000331D0">
        <w:rPr>
          <w:rFonts w:ascii="Helvetica" w:eastAsia="Times New Roman" w:hAnsi="Helvetica" w:cs="Arial"/>
          <w:sz w:val="20"/>
          <w:szCs w:val="24"/>
          <w:lang w:val="lt-LT"/>
        </w:rPr>
        <w:t>, vielos.</w:t>
      </w:r>
    </w:p>
    <w:p w14:paraId="67E31FBB"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0F4531FD"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8. Įtaisas pagal bet kurį iš ankstesnių punktų, papildomai apimantis įjungimo</w:t>
      </w:r>
      <w:r w:rsidRPr="000331D0">
        <w:rPr>
          <w:rFonts w:ascii="Helvetica" w:eastAsia="Times New Roman" w:hAnsi="Helvetica" w:cs="Arial"/>
          <w:color w:val="FF0000"/>
          <w:sz w:val="20"/>
          <w:szCs w:val="24"/>
          <w:lang w:val="lt-LT"/>
        </w:rPr>
        <w:t xml:space="preserve"> </w:t>
      </w:r>
      <w:r w:rsidRPr="000331D0">
        <w:rPr>
          <w:rFonts w:ascii="Helvetica" w:eastAsia="Times New Roman" w:hAnsi="Helvetica" w:cs="Arial"/>
          <w:sz w:val="20"/>
          <w:szCs w:val="24"/>
          <w:lang w:val="lt-LT"/>
        </w:rPr>
        <w:t>priemones (116), pritvirtintas prie kiekvieno galinčio judėti peties (3030) galo.</w:t>
      </w:r>
    </w:p>
    <w:p w14:paraId="6C9B5D59"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1F590024"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9. Įtaisas pagal 8 punktą, kur įtempiant įjungimo priemones (116), jos priverčia galinčius judėti pečius (3030) pasisukti ant šarnyrinių dalių (3020).</w:t>
      </w:r>
    </w:p>
    <w:p w14:paraId="346732A1"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760E2440"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10. Įtaisas pagal bet kurį iš 8 arba 9 punktų, kur įjungimo priemonės (116) gali būti įjungiamos nepriklausomai taip, kad kiekvienas galintis judėti petys galėtų būti atidarytas ir uždarytas nepriklausomai.</w:t>
      </w:r>
    </w:p>
    <w:p w14:paraId="17919C52"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4826AD03"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lastRenderedPageBreak/>
        <w:t>11. Įtaisas pagal 10 punktą, kur galintys judėti pečiai gali būti atidaromi ir uždaromi nepriklausomai nuo mentelių (120, 122) padėties.</w:t>
      </w:r>
    </w:p>
    <w:p w14:paraId="0EC820E9"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2EA355CD"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12. Įtaisas pagal bet kurį iš ankstesnių punktų, papildomai apimantis:</w:t>
      </w:r>
    </w:p>
    <w:p w14:paraId="4B1F5411"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dangtelį, kuris apgaubia bent dalį gnybto (3000) galinčio judėti peties; ir</w:t>
      </w:r>
    </w:p>
    <w:p w14:paraId="0BE8EBAB"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bent vieną įjungimo siūlą (116), pritvirtintą prie dangtelio.</w:t>
      </w:r>
    </w:p>
    <w:p w14:paraId="01A5AA49"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4B82579C"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13. Įtaisas pagal 12 punktą, kur dangtelis apgaubia galinčio judėti peties galą.</w:t>
      </w:r>
    </w:p>
    <w:p w14:paraId="6267D223"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43F5858C" w14:textId="77777777" w:rsidR="00CD11DD" w:rsidRPr="000331D0" w:rsidRDefault="00CD11DD" w:rsidP="000331D0">
      <w:pPr>
        <w:shd w:val="clear" w:color="auto" w:fill="FFFFFF"/>
        <w:spacing w:after="0" w:line="360" w:lineRule="auto"/>
        <w:ind w:firstLine="567"/>
        <w:jc w:val="both"/>
        <w:rPr>
          <w:rFonts w:ascii="Helvetica" w:eastAsia="Times New Roman" w:hAnsi="Helvetica" w:cs="Arial"/>
          <w:sz w:val="20"/>
          <w:szCs w:val="24"/>
          <w:lang w:val="lt-LT"/>
        </w:rPr>
      </w:pPr>
      <w:r w:rsidRPr="000331D0">
        <w:rPr>
          <w:rFonts w:ascii="Helvetica" w:eastAsia="Times New Roman" w:hAnsi="Helvetica" w:cs="Arial"/>
          <w:sz w:val="20"/>
          <w:szCs w:val="24"/>
          <w:lang w:val="lt-LT"/>
        </w:rPr>
        <w:t>14. Įtaisas pagal bet kurį iš 12 arba 13 punktų, kur bent dalis dangtelio sudaro bent dalį kooptacijos sekcijos (104).</w:t>
      </w:r>
    </w:p>
    <w:p w14:paraId="3D1116DD" w14:textId="77777777" w:rsidR="00CD11DD" w:rsidRPr="000331D0" w:rsidRDefault="00CD11DD" w:rsidP="000331D0">
      <w:pPr>
        <w:shd w:val="clear" w:color="auto" w:fill="FFFFFF"/>
        <w:spacing w:after="0" w:line="360" w:lineRule="auto"/>
        <w:jc w:val="both"/>
        <w:rPr>
          <w:rFonts w:ascii="Helvetica" w:eastAsia="Times New Roman" w:hAnsi="Helvetica" w:cs="Arial"/>
          <w:sz w:val="20"/>
          <w:szCs w:val="24"/>
          <w:lang w:val="lt-LT"/>
        </w:rPr>
      </w:pPr>
    </w:p>
    <w:p w14:paraId="6204618A" w14:textId="0FC98A7A" w:rsidR="0018473C" w:rsidRPr="000331D0" w:rsidRDefault="00CD11DD" w:rsidP="000331D0">
      <w:pPr>
        <w:spacing w:after="0" w:line="360" w:lineRule="auto"/>
        <w:ind w:firstLine="567"/>
        <w:jc w:val="both"/>
        <w:rPr>
          <w:rFonts w:ascii="Helvetica" w:hAnsi="Helvetica"/>
          <w:sz w:val="20"/>
          <w:szCs w:val="24"/>
          <w:lang w:val="lt-LT"/>
        </w:rPr>
      </w:pPr>
      <w:r w:rsidRPr="000331D0">
        <w:rPr>
          <w:rFonts w:ascii="Helvetica" w:eastAsia="Times New Roman" w:hAnsi="Helvetica" w:cs="Arial"/>
          <w:sz w:val="20"/>
          <w:szCs w:val="24"/>
          <w:lang w:val="lt-LT"/>
        </w:rPr>
        <w:t>15. Įtaisas pagal bet kurį iš 12</w:t>
      </w:r>
      <w:r w:rsidR="001021C4">
        <w:rPr>
          <w:rFonts w:ascii="Helvetica" w:eastAsia="Times New Roman" w:hAnsi="Helvetica" w:cs="Arial"/>
          <w:sz w:val="20"/>
          <w:szCs w:val="24"/>
          <w:lang w:val="lt-LT"/>
        </w:rPr>
        <w:t>–</w:t>
      </w:r>
      <w:r w:rsidRPr="000331D0">
        <w:rPr>
          <w:rFonts w:ascii="Helvetica" w:eastAsia="Times New Roman" w:hAnsi="Helvetica" w:cs="Arial"/>
          <w:sz w:val="20"/>
          <w:szCs w:val="24"/>
          <w:lang w:val="lt-LT"/>
        </w:rPr>
        <w:t>14 punktų, kur dangtelis pagamintas iš lankstaus audinio medžiagos.</w:t>
      </w:r>
    </w:p>
    <w:sectPr w:rsidR="0018473C" w:rsidRPr="000331D0" w:rsidSect="000331D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0CAE8" w14:textId="77777777" w:rsidR="004B631E" w:rsidRDefault="004B631E" w:rsidP="000331D0">
      <w:pPr>
        <w:spacing w:after="0" w:line="240" w:lineRule="auto"/>
      </w:pPr>
      <w:r>
        <w:separator/>
      </w:r>
    </w:p>
  </w:endnote>
  <w:endnote w:type="continuationSeparator" w:id="0">
    <w:p w14:paraId="5405971E" w14:textId="77777777" w:rsidR="004B631E" w:rsidRDefault="004B631E" w:rsidP="0003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9D5FD" w14:textId="77777777" w:rsidR="004B631E" w:rsidRDefault="004B631E" w:rsidP="000331D0">
      <w:pPr>
        <w:spacing w:after="0" w:line="240" w:lineRule="auto"/>
      </w:pPr>
      <w:r>
        <w:separator/>
      </w:r>
    </w:p>
  </w:footnote>
  <w:footnote w:type="continuationSeparator" w:id="0">
    <w:p w14:paraId="3A8947FD" w14:textId="77777777" w:rsidR="004B631E" w:rsidRDefault="004B631E" w:rsidP="00033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F5"/>
    <w:rsid w:val="0000726D"/>
    <w:rsid w:val="000331D0"/>
    <w:rsid w:val="000657CC"/>
    <w:rsid w:val="00091494"/>
    <w:rsid w:val="000B1DE7"/>
    <w:rsid w:val="00100598"/>
    <w:rsid w:val="001021C4"/>
    <w:rsid w:val="001340E0"/>
    <w:rsid w:val="00142022"/>
    <w:rsid w:val="0018473C"/>
    <w:rsid w:val="001A66DC"/>
    <w:rsid w:val="001D55F6"/>
    <w:rsid w:val="001E02F5"/>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0A6C"/>
    <w:rsid w:val="004859D0"/>
    <w:rsid w:val="004B1648"/>
    <w:rsid w:val="004B631E"/>
    <w:rsid w:val="004B64B8"/>
    <w:rsid w:val="004F002F"/>
    <w:rsid w:val="00504F54"/>
    <w:rsid w:val="00511771"/>
    <w:rsid w:val="00536D9A"/>
    <w:rsid w:val="00550306"/>
    <w:rsid w:val="0056063D"/>
    <w:rsid w:val="005A2745"/>
    <w:rsid w:val="005E010A"/>
    <w:rsid w:val="005F3291"/>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D11DD"/>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B3348"/>
  <w15:chartTrackingRefBased/>
  <w15:docId w15:val="{B7199F85-E285-4347-8F6C-34CA170E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1DD"/>
    <w:pPr>
      <w:spacing w:after="200" w:line="276" w:lineRule="auto"/>
    </w:pPr>
    <w:rPr>
      <w:lang w:val="en-US"/>
    </w:rPr>
  </w:style>
  <w:style w:type="paragraph" w:styleId="Antrat1">
    <w:name w:val="heading 1"/>
    <w:basedOn w:val="prastasis"/>
    <w:next w:val="prastasis"/>
    <w:link w:val="Antrat1Diagrama"/>
    <w:uiPriority w:val="9"/>
    <w:qFormat/>
    <w:rsid w:val="001E02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1E02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1E02F5"/>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E02F5"/>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1E02F5"/>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1E02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02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02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02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02F5"/>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1E02F5"/>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1E02F5"/>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E02F5"/>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1E02F5"/>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1E02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02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02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02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0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02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02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02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0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02F5"/>
    <w:rPr>
      <w:i/>
      <w:iCs/>
      <w:color w:val="404040" w:themeColor="text1" w:themeTint="BF"/>
    </w:rPr>
  </w:style>
  <w:style w:type="paragraph" w:styleId="Sraopastraipa">
    <w:name w:val="List Paragraph"/>
    <w:basedOn w:val="prastasis"/>
    <w:uiPriority w:val="34"/>
    <w:qFormat/>
    <w:rsid w:val="001E02F5"/>
    <w:pPr>
      <w:ind w:left="720"/>
      <w:contextualSpacing/>
    </w:pPr>
  </w:style>
  <w:style w:type="character" w:styleId="Rykuspabraukimas">
    <w:name w:val="Intense Emphasis"/>
    <w:basedOn w:val="Numatytasispastraiposriftas"/>
    <w:uiPriority w:val="21"/>
    <w:qFormat/>
    <w:rsid w:val="001E02F5"/>
    <w:rPr>
      <w:i/>
      <w:iCs/>
      <w:color w:val="365F91" w:themeColor="accent1" w:themeShade="BF"/>
    </w:rPr>
  </w:style>
  <w:style w:type="paragraph" w:styleId="Iskirtacitata">
    <w:name w:val="Intense Quote"/>
    <w:basedOn w:val="prastasis"/>
    <w:next w:val="prastasis"/>
    <w:link w:val="IskirtacitataDiagrama"/>
    <w:uiPriority w:val="30"/>
    <w:qFormat/>
    <w:rsid w:val="001E02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1E02F5"/>
    <w:rPr>
      <w:i/>
      <w:iCs/>
      <w:color w:val="365F91" w:themeColor="accent1" w:themeShade="BF"/>
    </w:rPr>
  </w:style>
  <w:style w:type="character" w:styleId="Rykinuoroda">
    <w:name w:val="Intense Reference"/>
    <w:basedOn w:val="Numatytasispastraiposriftas"/>
    <w:uiPriority w:val="32"/>
    <w:qFormat/>
    <w:rsid w:val="001E02F5"/>
    <w:rPr>
      <w:b/>
      <w:bCs/>
      <w:smallCaps/>
      <w:color w:val="365F91" w:themeColor="accent1" w:themeShade="BF"/>
      <w:spacing w:val="5"/>
    </w:rPr>
  </w:style>
  <w:style w:type="paragraph" w:styleId="Antrats">
    <w:name w:val="header"/>
    <w:basedOn w:val="prastasis"/>
    <w:link w:val="AntratsDiagrama"/>
    <w:uiPriority w:val="99"/>
    <w:unhideWhenUsed/>
    <w:rsid w:val="000331D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331D0"/>
    <w:rPr>
      <w:lang w:val="en-US"/>
    </w:rPr>
  </w:style>
  <w:style w:type="paragraph" w:styleId="Porat">
    <w:name w:val="footer"/>
    <w:basedOn w:val="prastasis"/>
    <w:link w:val="PoratDiagrama"/>
    <w:uiPriority w:val="99"/>
    <w:unhideWhenUsed/>
    <w:rsid w:val="000331D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331D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3020</Characters>
  <Application>Microsoft Office Word</Application>
  <DocSecurity>0</DocSecurity>
  <Lines>59</Lines>
  <Paragraphs>28</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5</cp:revision>
  <dcterms:created xsi:type="dcterms:W3CDTF">2024-10-02T12:18:00Z</dcterms:created>
  <dcterms:modified xsi:type="dcterms:W3CDTF">2024-10-02T12:21:00Z</dcterms:modified>
</cp:coreProperties>
</file>