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D686" w14:textId="77777777" w:rsidR="00F872E2" w:rsidRPr="00F872E2" w:rsidRDefault="00F872E2" w:rsidP="00F872E2">
      <w:pPr>
        <w:spacing w:after="0" w:line="360" w:lineRule="auto"/>
        <w:ind w:firstLine="567"/>
        <w:jc w:val="both"/>
        <w:rPr>
          <w:rFonts w:ascii="Helvetica" w:eastAsia="MS Mincho" w:hAnsi="Helvetica" w:cs="Times New Roman"/>
          <w:sz w:val="20"/>
        </w:rPr>
      </w:pPr>
      <w:r w:rsidRPr="00F872E2">
        <w:rPr>
          <w:rFonts w:ascii="Helvetica" w:eastAsia="MS Mincho" w:hAnsi="Helvetica" w:cs="Times New Roman"/>
          <w:sz w:val="20"/>
        </w:rPr>
        <w:t xml:space="preserve">1. </w:t>
      </w:r>
      <w:proofErr w:type="spellStart"/>
      <w:r w:rsidRPr="00F872E2">
        <w:rPr>
          <w:rFonts w:ascii="Helvetica" w:eastAsia="MS Mincho" w:hAnsi="Helvetica" w:cs="Times New Roman"/>
          <w:sz w:val="20"/>
        </w:rPr>
        <w:t>Bispecifinis</w:t>
      </w:r>
      <w:proofErr w:type="spellEnd"/>
      <w:r w:rsidRPr="00F872E2">
        <w:rPr>
          <w:rFonts w:ascii="Helvetica" w:eastAsia="MS Mincho" w:hAnsi="Helvetica" w:cs="Times New Roman"/>
          <w:sz w:val="20"/>
        </w:rPr>
        <w:t xml:space="preserve"> antikūnas, apimantis (i) pirmąją sunkiąją grandinę ir pirmąją lengvąją grandinę, sujungtas </w:t>
      </w:r>
      <w:proofErr w:type="spellStart"/>
      <w:r w:rsidRPr="00F872E2">
        <w:rPr>
          <w:rFonts w:ascii="Helvetica" w:eastAsia="MS Mincho" w:hAnsi="Helvetica" w:cs="Times New Roman"/>
          <w:sz w:val="20"/>
        </w:rPr>
        <w:t>disulfidiniais</w:t>
      </w:r>
      <w:proofErr w:type="spellEnd"/>
      <w:r w:rsidRPr="00F872E2">
        <w:rPr>
          <w:rFonts w:ascii="Helvetica" w:eastAsia="MS Mincho" w:hAnsi="Helvetica" w:cs="Times New Roman"/>
          <w:sz w:val="20"/>
        </w:rPr>
        <w:t xml:space="preserve"> tilteliais, sudarančias pirmąją surišimo sritį, kuri susiriša su žmogaus CD3, ir (ii) antrąją sunkiąją grandinę ir antrąją lengvąją grandinę, sujungtas </w:t>
      </w:r>
      <w:proofErr w:type="spellStart"/>
      <w:r w:rsidRPr="00F872E2">
        <w:rPr>
          <w:rFonts w:ascii="Helvetica" w:eastAsia="MS Mincho" w:hAnsi="Helvetica" w:cs="Times New Roman"/>
          <w:sz w:val="20"/>
        </w:rPr>
        <w:t>disulfidiniais</w:t>
      </w:r>
      <w:proofErr w:type="spellEnd"/>
      <w:r w:rsidRPr="00F872E2">
        <w:rPr>
          <w:rFonts w:ascii="Helvetica" w:eastAsia="MS Mincho" w:hAnsi="Helvetica" w:cs="Times New Roman"/>
          <w:sz w:val="20"/>
        </w:rPr>
        <w:t xml:space="preserve"> tilteliais, sudarančias antrąją surišimo sritį, kuri susiriša su žmogaus CD20;</w:t>
      </w:r>
    </w:p>
    <w:p w14:paraId="55EFA5ED" w14:textId="1B30ED52" w:rsidR="00F872E2" w:rsidRPr="00F872E2" w:rsidRDefault="00F872E2" w:rsidP="00F872E2">
      <w:pPr>
        <w:spacing w:after="0" w:line="360" w:lineRule="auto"/>
        <w:jc w:val="both"/>
        <w:rPr>
          <w:rFonts w:ascii="Helvetica" w:eastAsia="MS Mincho" w:hAnsi="Helvetica" w:cs="Times New Roman"/>
          <w:sz w:val="20"/>
        </w:rPr>
      </w:pPr>
      <w:r w:rsidRPr="00F872E2">
        <w:rPr>
          <w:rFonts w:ascii="Helvetica" w:eastAsia="MS Mincho" w:hAnsi="Helvetica" w:cs="Times New Roman"/>
          <w:sz w:val="20"/>
        </w:rPr>
        <w:t>kur pirmoji sunkioji grandinė apima VH seką, kaip nurodyta SEQ ID NR.: 6 ir pirmoji lengvoji grandinė apima VL seką, kaip nurodyta SEQ ID NR.: 10;</w:t>
      </w:r>
      <w:r w:rsidRPr="00F872E2">
        <w:rPr>
          <w:rFonts w:ascii="Helvetica" w:eastAsia="MS Mincho" w:hAnsi="Helvetica" w:cs="Times New Roman"/>
          <w:sz w:val="20"/>
        </w:rPr>
        <w:t xml:space="preserve"> </w:t>
      </w:r>
      <w:r w:rsidRPr="00F872E2">
        <w:rPr>
          <w:rFonts w:ascii="Helvetica" w:eastAsia="MS Mincho" w:hAnsi="Helvetica" w:cs="Times New Roman"/>
          <w:sz w:val="20"/>
        </w:rPr>
        <w:t>ir antroji sunkioji grandinė apima VH seką, kaip nurodyta SEQ ID NR.: 29, o antroji lengvoji grandinė apima VL seką, kaip nurodyta SEQ ID NR.: 30;</w:t>
      </w:r>
    </w:p>
    <w:p w14:paraId="65BD475E" w14:textId="77777777" w:rsidR="00F872E2" w:rsidRPr="00F872E2" w:rsidRDefault="00F872E2" w:rsidP="00F872E2">
      <w:pPr>
        <w:spacing w:after="0" w:line="360" w:lineRule="auto"/>
        <w:jc w:val="both"/>
        <w:rPr>
          <w:rFonts w:ascii="Helvetica" w:eastAsia="MS Mincho" w:hAnsi="Helvetica" w:cs="Times New Roman"/>
          <w:sz w:val="20"/>
        </w:rPr>
      </w:pPr>
      <w:r w:rsidRPr="00F872E2">
        <w:rPr>
          <w:rFonts w:ascii="Helvetica" w:eastAsia="MS Mincho" w:hAnsi="Helvetica" w:cs="Times New Roman"/>
          <w:sz w:val="20"/>
        </w:rPr>
        <w:t>kur pirmoji ir antroji sunkiosios grandinės apima modifikuotas IgG1 pastoviąsias sritis, kur ir pirmojoje ir antrojoje sunkiojoje grandinėje aminorūgštys yra padėtyse, atitinkančiose L234, L235 ir D265 žmogaus IgG1 sunkiojoje grandinėje yra atitinkamai F, E ir A;</w:t>
      </w:r>
    </w:p>
    <w:p w14:paraId="2967CBEC" w14:textId="69BEE35F" w:rsidR="00F872E2" w:rsidRPr="00F872E2" w:rsidRDefault="00F872E2" w:rsidP="00F872E2">
      <w:pPr>
        <w:spacing w:after="0" w:line="360" w:lineRule="auto"/>
        <w:jc w:val="both"/>
        <w:rPr>
          <w:rFonts w:ascii="Helvetica" w:eastAsia="MS Mincho" w:hAnsi="Helvetica" w:cs="Times New Roman"/>
          <w:sz w:val="20"/>
        </w:rPr>
      </w:pPr>
      <w:r w:rsidRPr="00F872E2">
        <w:rPr>
          <w:rFonts w:ascii="Helvetica" w:eastAsia="MS Mincho" w:hAnsi="Helvetica" w:cs="Times New Roman"/>
          <w:sz w:val="20"/>
        </w:rPr>
        <w:t>kur pirmojoje sunkiojoje grandinėje aminorūgštis padėtyje, atitinkančioje</w:t>
      </w:r>
      <w:r w:rsidRPr="00F872E2">
        <w:rPr>
          <w:rFonts w:ascii="Helvetica" w:eastAsia="MS Mincho" w:hAnsi="Helvetica" w:cs="Times New Roman"/>
          <w:sz w:val="20"/>
        </w:rPr>
        <w:t xml:space="preserve"> </w:t>
      </w:r>
      <w:r w:rsidRPr="00F872E2">
        <w:rPr>
          <w:rFonts w:ascii="Helvetica" w:eastAsia="MS Mincho" w:hAnsi="Helvetica" w:cs="Times New Roman"/>
          <w:sz w:val="20"/>
        </w:rPr>
        <w:t>padėtį F405 žmogaus IgG1 sunkiojoje grandinėje yra L ir antrojoje sunkiojoje grandinėje aminorūgštis padėtyje, atitinkančioje padėtį K409</w:t>
      </w:r>
      <w:r w:rsidRPr="00F872E2">
        <w:rPr>
          <w:rFonts w:ascii="Helvetica" w:eastAsia="MS Mincho" w:hAnsi="Helvetica" w:cs="Times New Roman"/>
          <w:sz w:val="20"/>
        </w:rPr>
        <w:t xml:space="preserve"> </w:t>
      </w:r>
      <w:r w:rsidRPr="00F872E2">
        <w:rPr>
          <w:rFonts w:ascii="Helvetica" w:eastAsia="MS Mincho" w:hAnsi="Helvetica" w:cs="Times New Roman"/>
          <w:sz w:val="20"/>
        </w:rPr>
        <w:t>žmogaus IgG1 sunkiojoje grandinėje, yra R;</w:t>
      </w:r>
    </w:p>
    <w:p w14:paraId="0E06F05C" w14:textId="77777777" w:rsidR="00F872E2" w:rsidRPr="00F872E2" w:rsidRDefault="00F872E2" w:rsidP="00F872E2">
      <w:pPr>
        <w:spacing w:after="0" w:line="360" w:lineRule="auto"/>
        <w:jc w:val="both"/>
        <w:rPr>
          <w:rFonts w:ascii="Helvetica" w:eastAsia="MS Mincho" w:hAnsi="Helvetica" w:cs="Times New Roman"/>
          <w:sz w:val="20"/>
        </w:rPr>
      </w:pPr>
      <w:r w:rsidRPr="00F872E2">
        <w:rPr>
          <w:rFonts w:ascii="Helvetica" w:eastAsia="MS Mincho" w:hAnsi="Helvetica" w:cs="Times New Roman"/>
          <w:sz w:val="20"/>
        </w:rPr>
        <w:t xml:space="preserve">kur nurodytos aminorūgščių padėtys atitinka </w:t>
      </w:r>
      <w:proofErr w:type="spellStart"/>
      <w:r w:rsidRPr="00F872E2">
        <w:rPr>
          <w:rFonts w:ascii="Helvetica" w:eastAsia="MS Mincho" w:hAnsi="Helvetica" w:cs="Times New Roman"/>
          <w:sz w:val="20"/>
        </w:rPr>
        <w:t>Eu</w:t>
      </w:r>
      <w:proofErr w:type="spellEnd"/>
      <w:r w:rsidRPr="00F872E2">
        <w:rPr>
          <w:rFonts w:ascii="Helvetica" w:eastAsia="MS Mincho" w:hAnsi="Helvetica" w:cs="Times New Roman"/>
          <w:sz w:val="20"/>
        </w:rPr>
        <w:t xml:space="preserve"> numeraciją.</w:t>
      </w:r>
    </w:p>
    <w:p w14:paraId="3B3FA1CF" w14:textId="77777777" w:rsidR="00F872E2" w:rsidRPr="00F872E2" w:rsidRDefault="00F872E2" w:rsidP="00F872E2">
      <w:pPr>
        <w:spacing w:after="0" w:line="360" w:lineRule="auto"/>
        <w:jc w:val="both"/>
        <w:rPr>
          <w:rFonts w:ascii="Helvetica" w:eastAsia="MS Mincho" w:hAnsi="Helvetica" w:cs="Times New Roman"/>
          <w:sz w:val="20"/>
        </w:rPr>
      </w:pPr>
    </w:p>
    <w:p w14:paraId="132F585F" w14:textId="77777777" w:rsidR="00F872E2" w:rsidRPr="00F872E2" w:rsidRDefault="00F872E2" w:rsidP="00F872E2">
      <w:pPr>
        <w:spacing w:after="0" w:line="360" w:lineRule="auto"/>
        <w:ind w:firstLine="567"/>
        <w:jc w:val="both"/>
        <w:rPr>
          <w:rFonts w:ascii="Helvetica" w:eastAsia="MS Mincho" w:hAnsi="Helvetica" w:cs="Times New Roman"/>
          <w:sz w:val="20"/>
        </w:rPr>
      </w:pPr>
      <w:r w:rsidRPr="00F872E2">
        <w:rPr>
          <w:rFonts w:ascii="Helvetica" w:eastAsia="MS Mincho" w:hAnsi="Helvetica" w:cs="Times New Roman"/>
          <w:sz w:val="20"/>
        </w:rPr>
        <w:t xml:space="preserve">2. </w:t>
      </w:r>
      <w:proofErr w:type="spellStart"/>
      <w:r w:rsidRPr="00F872E2">
        <w:rPr>
          <w:rFonts w:ascii="Helvetica" w:eastAsia="MS Mincho" w:hAnsi="Helvetica" w:cs="Times New Roman"/>
          <w:sz w:val="20"/>
        </w:rPr>
        <w:t>Bispecifinis</w:t>
      </w:r>
      <w:proofErr w:type="spellEnd"/>
      <w:r w:rsidRPr="00F872E2">
        <w:rPr>
          <w:rFonts w:ascii="Helvetica" w:eastAsia="MS Mincho" w:hAnsi="Helvetica" w:cs="Times New Roman"/>
          <w:sz w:val="20"/>
        </w:rPr>
        <w:t xml:space="preserve"> antikūnas pagal 1 punktą, kur pirmoji sunkioji grandinė apima aminorūgščių seką, kaip nurodyta SEQ ID NR.: 25 ir antroji sunkioji grandinė apima aminorūgščių seką, kaip nurodyta SEQ ID NR.: 26.</w:t>
      </w:r>
    </w:p>
    <w:sectPr w:rsidR="00F872E2" w:rsidRPr="00F872E2" w:rsidSect="00F872E2">
      <w:pgSz w:w="11906" w:h="16838"/>
      <w:pgMar w:top="1134" w:right="567" w:bottom="567" w:left="1701" w:header="567" w:footer="28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AE3D" w14:textId="77777777" w:rsidR="00F872E2" w:rsidRDefault="00F872E2" w:rsidP="00F872E2">
      <w:pPr>
        <w:spacing w:after="0" w:line="240" w:lineRule="auto"/>
      </w:pPr>
      <w:r>
        <w:separator/>
      </w:r>
    </w:p>
  </w:endnote>
  <w:endnote w:type="continuationSeparator" w:id="0">
    <w:p w14:paraId="7A664216" w14:textId="77777777" w:rsidR="00F872E2" w:rsidRDefault="00F872E2" w:rsidP="00F8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CAD7" w14:textId="77777777" w:rsidR="00F872E2" w:rsidRDefault="00F872E2" w:rsidP="00F872E2">
      <w:pPr>
        <w:spacing w:after="0" w:line="240" w:lineRule="auto"/>
      </w:pPr>
      <w:r>
        <w:separator/>
      </w:r>
    </w:p>
  </w:footnote>
  <w:footnote w:type="continuationSeparator" w:id="0">
    <w:p w14:paraId="3EA3C33C" w14:textId="77777777" w:rsidR="00F872E2" w:rsidRDefault="00F872E2" w:rsidP="00F872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E2"/>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90F35"/>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872E2"/>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08925"/>
  <w15:chartTrackingRefBased/>
  <w15:docId w15:val="{B7ABA559-534C-4634-937C-616CA7D9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F872E2"/>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F872E2"/>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F872E2"/>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F872E2"/>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F872E2"/>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F872E2"/>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872E2"/>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872E2"/>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872E2"/>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2E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872E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872E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872E2"/>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F872E2"/>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F872E2"/>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F872E2"/>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872E2"/>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F872E2"/>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F872E2"/>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F87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2E2"/>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87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2E2"/>
    <w:pPr>
      <w:spacing w:before="160"/>
      <w:jc w:val="center"/>
    </w:pPr>
    <w:rPr>
      <w:i/>
      <w:iCs/>
      <w:color w:val="404040" w:themeColor="text1" w:themeTint="BF"/>
    </w:rPr>
  </w:style>
  <w:style w:type="character" w:customStyle="1" w:styleId="QuoteChar">
    <w:name w:val="Quote Char"/>
    <w:basedOn w:val="DefaultParagraphFont"/>
    <w:link w:val="Quote"/>
    <w:uiPriority w:val="29"/>
    <w:rsid w:val="00F872E2"/>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F872E2"/>
    <w:pPr>
      <w:ind w:left="720"/>
      <w:contextualSpacing/>
    </w:pPr>
  </w:style>
  <w:style w:type="character" w:styleId="IntenseEmphasis">
    <w:name w:val="Intense Emphasis"/>
    <w:basedOn w:val="DefaultParagraphFont"/>
    <w:uiPriority w:val="21"/>
    <w:qFormat/>
    <w:rsid w:val="00F872E2"/>
    <w:rPr>
      <w:i/>
      <w:iCs/>
      <w:color w:val="365F91" w:themeColor="accent1" w:themeShade="BF"/>
    </w:rPr>
  </w:style>
  <w:style w:type="paragraph" w:styleId="IntenseQuote">
    <w:name w:val="Intense Quote"/>
    <w:basedOn w:val="Normal"/>
    <w:next w:val="Normal"/>
    <w:link w:val="IntenseQuoteChar"/>
    <w:uiPriority w:val="30"/>
    <w:qFormat/>
    <w:rsid w:val="00F872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872E2"/>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F872E2"/>
    <w:rPr>
      <w:b/>
      <w:bCs/>
      <w:smallCaps/>
      <w:color w:val="365F91" w:themeColor="accent1" w:themeShade="BF"/>
      <w:spacing w:val="5"/>
    </w:rPr>
  </w:style>
  <w:style w:type="paragraph" w:styleId="Header">
    <w:name w:val="header"/>
    <w:basedOn w:val="Normal"/>
    <w:link w:val="HeaderChar"/>
    <w:uiPriority w:val="99"/>
    <w:unhideWhenUsed/>
    <w:rsid w:val="00F872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72E2"/>
    <w:rPr>
      <w:rFonts w:asciiTheme="majorBidi" w:hAnsiTheme="majorBidi" w:cstheme="majorBidi"/>
      <w:sz w:val="24"/>
      <w:szCs w:val="24"/>
    </w:rPr>
  </w:style>
  <w:style w:type="paragraph" w:styleId="Footer">
    <w:name w:val="footer"/>
    <w:basedOn w:val="Normal"/>
    <w:link w:val="FooterChar"/>
    <w:uiPriority w:val="99"/>
    <w:unhideWhenUsed/>
    <w:rsid w:val="00F872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72E2"/>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1251</Characters>
  <Application>Microsoft Office Word</Application>
  <DocSecurity>0</DocSecurity>
  <Lines>25</Lines>
  <Paragraphs>9</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2025-08-08T10:12:00Z</dcterms:created>
  <dcterms:modified xsi:type="dcterms:W3CDTF">2025-08-08T10:13:00Z</dcterms:modified>
</cp:coreProperties>
</file>