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restoration methods of loosenes of materials 
and to crushing methods.
An adhesive material in a closed capacity is attacked by localized 
impulsive-impactive influences, i.e. by explosing some power charges, which 
are apporticheded in the volume of the material by a calculated, mathematical model, the surface of the figure and by holding on to the retardation regime of explosion time. The regime is chosen according to the physical-mathematical characteristics of the material. According to the present method new is that the impulsive-impactive influences are apportioned by the calculated figure of the surface, which is divided into parallel sections for an unloading opening, and this depends on the geometrical form of the concrete capacity. The powers of the charges are related as much to the figure of the surface as to the construction of the capacity, i.e. a steadfastness of the construction is estimated. The impulsive-impactive influences are exerted on the points, which are 
exposed in the lower sections and rise perpendicular to the unloading opening into the following sections by a breaking screw line formed according to the calculation results.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