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farmacinės chemijos, konkrečiai skirtas N-{4-[bis(2-chloretil)amino]fenilacetil}-L-alanino vaistiniam produktui fenalonui, jo gamybos būdui ir šį junginį turinčiai farmacinei kompozicijai bei vaisto formai.@Išradime pateikiamas gamybos būdas užtikrina vaistinio produkto aktyvios medžiagos fenalono išskyrimą ir išgryninimą. Taip pat pateikiama fenaloną turinti farmacinė kompozicija bei vaisto forma - 300 mg tabletės, atitinkančios farmakopėjos reikalavimus. Gydant ligonius fenalonu pagrindinės indikacijos yra hemoblastozės: piktybinės limfomos (Hodžkino ir ne Hodžkino), limfoepitelioma, lėtinė limfoleukozė, mielominė liga, Kapoši sarkoma, o taip pat kai kurie solidiniai navikai - seminoma, kiaušidžių vėžys.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