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vandens taip pat pramoninių ir buitinių nutekamųjų vandenų apdorojimo sričiai. Jame aprašomas būdas pasižymi tuo, kad nutekamųjų vandenų srautas tuo pačiu metu veikiamas terminiu smūgiu, ozonu, ultragarsiniu ir ultravioletiniu spinduliavimu, taip pat lydinčiais faktoriais, atsirandančiais, kai nutekamųjų vandenų srautas apdorojamas trumpais ir galingais E, H laukų impulsais. Apdorojamo srauto konfigūracija ir sistemos parametrai parenkami taip, kad galima būtų veikti stipriu ultravioletiniu spinduliavimu, o taip pat oru, prisotintu iškrovos pasekoje atsirandančiu ozonu, kuris, savo ruožtu, aktyvuotas magnetiniu lauku, lydinčiais spinduliavimais ir radikalais, didinančiais jo nukenksminantį veikimą.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