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purification of industrial and waste water. A flow 
of waste water in the same time is attacked by a thermal shock, ozone,  
ultra-violet and ultra-sound radiation, and by collateral factors, then the 
flow of the waste water is attacked by short and powerful pulses of E,H 
fields. The configuration of the waste water and system parameters are 
choosen so that they can be attacked by  powerful ultra-violet radiation and by air, which is saturated by ozone from  discharge, activated by a 
magnetic field, collateral radiation and radicals increasing its positive 
action.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