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F640" w14:textId="4587D5B4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>, skirtas naudoti</w:t>
      </w:r>
      <w:r w:rsidR="00697CBC" w:rsidRPr="00697CBC">
        <w:rPr>
          <w:rFonts w:ascii="Helvetica" w:hAnsi="Helvetica"/>
          <w:sz w:val="20"/>
        </w:rPr>
        <w:t xml:space="preserve"> </w:t>
      </w:r>
      <w:r w:rsidRPr="00697CBC">
        <w:rPr>
          <w:rFonts w:ascii="Helvetica" w:hAnsi="Helvetica"/>
          <w:sz w:val="20"/>
        </w:rPr>
        <w:t xml:space="preserve">vidutinio sunkumo </w:t>
      </w:r>
      <w:r w:rsidR="00D26D45" w:rsidRPr="00697CBC">
        <w:rPr>
          <w:rFonts w:ascii="Helvetica" w:hAnsi="Helvetica"/>
          <w:sz w:val="20"/>
        </w:rPr>
        <w:t>arba</w:t>
      </w:r>
      <w:r w:rsidRPr="00697CBC">
        <w:rPr>
          <w:rFonts w:ascii="Helvetica" w:hAnsi="Helvetica"/>
          <w:sz w:val="20"/>
        </w:rPr>
        <w:t xml:space="preserve"> sunkaus </w:t>
      </w:r>
      <w:r w:rsidR="007274F8" w:rsidRPr="00697CBC">
        <w:rPr>
          <w:rFonts w:ascii="Helvetica" w:hAnsi="Helvetica"/>
          <w:sz w:val="20"/>
        </w:rPr>
        <w:t>opinio kolito</w:t>
      </w:r>
      <w:r w:rsidR="00B878D3" w:rsidRPr="00697CBC">
        <w:rPr>
          <w:rFonts w:ascii="Helvetica" w:hAnsi="Helvetica"/>
          <w:sz w:val="20"/>
        </w:rPr>
        <w:t> </w:t>
      </w:r>
      <w:r w:rsidRPr="00697CBC">
        <w:rPr>
          <w:rFonts w:ascii="Helvetica" w:hAnsi="Helvetica"/>
          <w:sz w:val="20"/>
        </w:rPr>
        <w:t>(</w:t>
      </w:r>
      <w:r w:rsidR="007274F8" w:rsidRPr="00697CBC">
        <w:rPr>
          <w:rFonts w:ascii="Helvetica" w:hAnsi="Helvetica"/>
          <w:sz w:val="20"/>
        </w:rPr>
        <w:t>OK</w:t>
      </w:r>
      <w:r w:rsidRPr="00697CBC">
        <w:rPr>
          <w:rFonts w:ascii="Helvetica" w:hAnsi="Helvetica"/>
          <w:sz w:val="20"/>
        </w:rPr>
        <w:t>) gydym</w:t>
      </w:r>
      <w:r w:rsidR="002A7960" w:rsidRPr="00697CBC">
        <w:rPr>
          <w:rFonts w:ascii="Helvetica" w:hAnsi="Helvetica"/>
          <w:sz w:val="20"/>
        </w:rPr>
        <w:t>ui</w:t>
      </w:r>
      <w:r w:rsidRPr="00697CBC">
        <w:rPr>
          <w:rFonts w:ascii="Helvetica" w:hAnsi="Helvetica"/>
          <w:sz w:val="20"/>
        </w:rPr>
        <w:t xml:space="preserve">, apimantis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 xml:space="preserve"> veiksmingo kiekio skyrimą pacientui, kuriam </w:t>
      </w:r>
      <w:r w:rsidR="002A7960" w:rsidRPr="00697CBC">
        <w:rPr>
          <w:rFonts w:ascii="Helvetica" w:hAnsi="Helvetica"/>
          <w:sz w:val="20"/>
        </w:rPr>
        <w:t xml:space="preserve">to </w:t>
      </w:r>
      <w:r w:rsidRPr="00697CBC">
        <w:rPr>
          <w:rFonts w:ascii="Helvetica" w:hAnsi="Helvetica"/>
          <w:sz w:val="20"/>
        </w:rPr>
        <w:t>reikia, kur gydymas apima:</w:t>
      </w:r>
    </w:p>
    <w:p w14:paraId="2E4F74D9" w14:textId="0A5DDB8A" w:rsidR="00932B6D" w:rsidRPr="00697CBC" w:rsidRDefault="00814CEF" w:rsidP="00697CBC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a)</w:t>
      </w:r>
      <w:r w:rsidR="00697CBC" w:rsidRPr="00697CBC">
        <w:rPr>
          <w:rFonts w:ascii="Helvetica" w:hAnsi="Helvetica"/>
          <w:sz w:val="20"/>
        </w:rPr>
        <w:t xml:space="preserve"> </w:t>
      </w:r>
      <w:r w:rsidRPr="00697CBC">
        <w:rPr>
          <w:rFonts w:ascii="Helvetica" w:hAnsi="Helvetica"/>
          <w:sz w:val="20"/>
        </w:rPr>
        <w:t xml:space="preserve">trijų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 xml:space="preserve"> indukcinių dozių skyrimą pacientui kas 4 savaites, kad</w:t>
      </w:r>
      <w:r w:rsidR="007274F8" w:rsidRPr="00697CBC">
        <w:rPr>
          <w:rFonts w:ascii="Helvetica" w:hAnsi="Helvetica"/>
          <w:sz w:val="20"/>
        </w:rPr>
        <w:t>,</w:t>
      </w:r>
      <w:r w:rsidRPr="00697CBC">
        <w:rPr>
          <w:rFonts w:ascii="Helvetica" w:hAnsi="Helvetica"/>
          <w:sz w:val="20"/>
        </w:rPr>
        <w:t xml:space="preserve"> </w:t>
      </w:r>
      <w:r w:rsidR="007274F8" w:rsidRPr="00697CBC">
        <w:rPr>
          <w:rFonts w:ascii="Helvetica" w:hAnsi="Helvetica"/>
          <w:sz w:val="20"/>
        </w:rPr>
        <w:t>siekiant sukelti</w:t>
      </w:r>
      <w:r w:rsidRPr="00697CBC">
        <w:rPr>
          <w:rFonts w:ascii="Helvetica" w:hAnsi="Helvetica"/>
          <w:sz w:val="20"/>
        </w:rPr>
        <w:t xml:space="preserve"> terapin</w:t>
      </w:r>
      <w:r w:rsidR="007274F8" w:rsidRPr="00697CBC">
        <w:rPr>
          <w:rFonts w:ascii="Helvetica" w:hAnsi="Helvetica"/>
          <w:sz w:val="20"/>
        </w:rPr>
        <w:t>į</w:t>
      </w:r>
      <w:r w:rsidRPr="00697CBC">
        <w:rPr>
          <w:rFonts w:ascii="Helvetica" w:hAnsi="Helvetica"/>
          <w:sz w:val="20"/>
        </w:rPr>
        <w:t xml:space="preserve"> poveik</w:t>
      </w:r>
      <w:r w:rsidR="007274F8" w:rsidRPr="00697CBC">
        <w:rPr>
          <w:rFonts w:ascii="Helvetica" w:hAnsi="Helvetica"/>
          <w:sz w:val="20"/>
        </w:rPr>
        <w:t>į</w:t>
      </w:r>
      <w:r w:rsidRPr="00697CBC">
        <w:rPr>
          <w:rFonts w:ascii="Helvetica" w:hAnsi="Helvetica"/>
          <w:sz w:val="20"/>
        </w:rPr>
        <w:t>, apimant</w:t>
      </w:r>
      <w:r w:rsidR="007274F8" w:rsidRPr="00697CBC">
        <w:rPr>
          <w:rFonts w:ascii="Helvetica" w:hAnsi="Helvetica"/>
          <w:sz w:val="20"/>
        </w:rPr>
        <w:t>į</w:t>
      </w:r>
      <w:r w:rsidRPr="00697CBC">
        <w:rPr>
          <w:rFonts w:ascii="Helvetica" w:hAnsi="Helvetica"/>
          <w:sz w:val="20"/>
        </w:rPr>
        <w:t xml:space="preserve"> klinikinę remisiją, klinikinį atsaką, endoskopinę remisiją, endoskopinį gijimą, simptominį atsaką ir (arba) simptominę remisiją, kur kiekviena indukcinė dozė apima </w:t>
      </w:r>
      <w:r w:rsidR="00932B6D" w:rsidRPr="00697CBC">
        <w:rPr>
          <w:rFonts w:ascii="Helvetica" w:hAnsi="Helvetica"/>
          <w:sz w:val="20"/>
        </w:rPr>
        <w:t>300 mg</w:t>
      </w:r>
      <w:r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="007274F8" w:rsidRPr="00697CBC">
        <w:rPr>
          <w:rFonts w:ascii="Helvetica" w:hAnsi="Helvetica"/>
          <w:sz w:val="20"/>
        </w:rPr>
        <w:t>,</w:t>
      </w:r>
      <w:r w:rsidRPr="00697CBC">
        <w:rPr>
          <w:rFonts w:ascii="Helvetica" w:hAnsi="Helvetica"/>
          <w:sz w:val="20"/>
        </w:rPr>
        <w:t xml:space="preserve"> </w:t>
      </w:r>
      <w:r w:rsidR="007274F8" w:rsidRPr="00697CBC">
        <w:rPr>
          <w:rFonts w:ascii="Helvetica" w:hAnsi="Helvetica"/>
          <w:sz w:val="20"/>
        </w:rPr>
        <w:t xml:space="preserve">ir </w:t>
      </w:r>
      <w:r w:rsidRPr="00697CBC">
        <w:rPr>
          <w:rFonts w:ascii="Helvetica" w:hAnsi="Helvetica"/>
          <w:sz w:val="20"/>
        </w:rPr>
        <w:t>kur kiekviena indukcinė dozė skiriama intravenine infuzija,</w:t>
      </w:r>
    </w:p>
    <w:p w14:paraId="43CA7E21" w14:textId="1820F4F0" w:rsidR="00932B6D" w:rsidRPr="00697CBC" w:rsidRDefault="00814CEF" w:rsidP="00697CBC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 xml:space="preserve">kur, jei pacientas nepasiekė terapinio poveikio per 4–12 savaičių po paskutinės indukcinės dozės skyrimo, pacientui intravenine infuzija skiriama viena, dvi arba trys prailgintos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 xml:space="preserve"> indukcinės dozės, kad būtų pasiektas terapinis poveikis, kur viena, dvi arba trys prailgintos indukcinės dozės apima </w:t>
      </w:r>
      <w:r w:rsidR="00932B6D" w:rsidRPr="00697CBC">
        <w:rPr>
          <w:rFonts w:ascii="Helvetica" w:hAnsi="Helvetica"/>
          <w:sz w:val="20"/>
        </w:rPr>
        <w:t>300 mg</w:t>
      </w:r>
      <w:r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>; ir</w:t>
      </w:r>
    </w:p>
    <w:p w14:paraId="4CF9A405" w14:textId="5F95FD3D" w:rsidR="00932B6D" w:rsidRPr="00697CBC" w:rsidRDefault="00814CEF" w:rsidP="00697CBC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b)</w:t>
      </w:r>
      <w:r w:rsidR="00697CBC" w:rsidRPr="00697CBC">
        <w:rPr>
          <w:rFonts w:ascii="Helvetica" w:hAnsi="Helvetica"/>
          <w:sz w:val="20"/>
        </w:rPr>
        <w:t xml:space="preserve"> </w:t>
      </w:r>
      <w:r w:rsidRPr="00697CBC">
        <w:rPr>
          <w:rFonts w:ascii="Helvetica" w:hAnsi="Helvetica"/>
          <w:sz w:val="20"/>
        </w:rPr>
        <w:t xml:space="preserve">kelių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 xml:space="preserve"> palaikomųjų dozių skyrimą pacientui injekcijomis po oda, kur pirmoji palaikomoji dozė skiriama praėjus 2–8 savaitėms po paskutinės indukcinės dozės arba paskutinės prailgintos indukcinės dozės skyrimo, kur palaikomoji dozė apima </w:t>
      </w:r>
      <w:r w:rsidR="00932B6D" w:rsidRPr="00697CBC">
        <w:rPr>
          <w:rFonts w:ascii="Helvetica" w:hAnsi="Helvetica"/>
          <w:sz w:val="20"/>
        </w:rPr>
        <w:t>200 mg</w:t>
      </w:r>
      <w:r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>.</w:t>
      </w:r>
    </w:p>
    <w:p w14:paraId="5393C141" w14:textId="77777777" w:rsidR="00697CBC" w:rsidRPr="00697CBC" w:rsidRDefault="00697CBC" w:rsidP="00697CBC">
      <w:pPr>
        <w:pStyle w:val="ID00079Claim"/>
        <w:spacing w:after="0"/>
        <w:jc w:val="both"/>
        <w:rPr>
          <w:rFonts w:ascii="Helvetica" w:hAnsi="Helvetica"/>
          <w:sz w:val="20"/>
        </w:rPr>
      </w:pPr>
    </w:p>
    <w:p w14:paraId="0CFC620D" w14:textId="21114674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pacing w:val="-4"/>
          <w:sz w:val="20"/>
        </w:rPr>
      </w:pPr>
      <w:r w:rsidRPr="00697CBC">
        <w:rPr>
          <w:rFonts w:ascii="Helvetica" w:hAnsi="Helvetica"/>
          <w:spacing w:val="-4"/>
          <w:sz w:val="20"/>
        </w:rPr>
        <w:t>2.</w:t>
      </w:r>
      <w:r w:rsidR="00697CBC" w:rsidRPr="00697CBC">
        <w:rPr>
          <w:rFonts w:ascii="Helvetica" w:hAnsi="Helvetica"/>
          <w:spacing w:val="-4"/>
          <w:sz w:val="20"/>
        </w:rPr>
        <w:t xml:space="preserve"> </w:t>
      </w:r>
      <w:proofErr w:type="spellStart"/>
      <w:r w:rsidRPr="00697CBC">
        <w:rPr>
          <w:rFonts w:ascii="Helvetica" w:hAnsi="Helvetica"/>
          <w:spacing w:val="-4"/>
          <w:sz w:val="20"/>
        </w:rPr>
        <w:t>Mirikizumabas</w:t>
      </w:r>
      <w:proofErr w:type="spellEnd"/>
      <w:r w:rsidRPr="00697CBC">
        <w:rPr>
          <w:rFonts w:ascii="Helvetica" w:hAnsi="Helvetica"/>
          <w:spacing w:val="-4"/>
          <w:sz w:val="20"/>
        </w:rPr>
        <w:t xml:space="preserve">, skirtas naudoti </w:t>
      </w:r>
      <w:r w:rsidR="00051330" w:rsidRPr="00697CBC">
        <w:rPr>
          <w:rFonts w:ascii="Helvetica" w:hAnsi="Helvetica"/>
          <w:spacing w:val="-4"/>
          <w:sz w:val="20"/>
        </w:rPr>
        <w:t xml:space="preserve">opinio kolito </w:t>
      </w:r>
      <w:r w:rsidR="002A7960" w:rsidRPr="00697CBC">
        <w:rPr>
          <w:rFonts w:ascii="Helvetica" w:hAnsi="Helvetica"/>
          <w:spacing w:val="-4"/>
          <w:sz w:val="20"/>
        </w:rPr>
        <w:t xml:space="preserve">gydymui </w:t>
      </w:r>
      <w:r w:rsidRPr="00697CBC">
        <w:rPr>
          <w:rFonts w:ascii="Helvetica" w:hAnsi="Helvetica"/>
          <w:spacing w:val="-4"/>
          <w:sz w:val="20"/>
        </w:rPr>
        <w:t xml:space="preserve">pagal 1 punktą, kur </w:t>
      </w:r>
      <w:proofErr w:type="spellStart"/>
      <w:r w:rsidRPr="00697CBC">
        <w:rPr>
          <w:rFonts w:ascii="Helvetica" w:hAnsi="Helvetica"/>
          <w:spacing w:val="-4"/>
          <w:sz w:val="20"/>
        </w:rPr>
        <w:t>mirikizumabo</w:t>
      </w:r>
      <w:proofErr w:type="spellEnd"/>
      <w:r w:rsidRPr="00697CBC">
        <w:rPr>
          <w:rFonts w:ascii="Helvetica" w:hAnsi="Helvetica"/>
          <w:spacing w:val="-4"/>
          <w:sz w:val="20"/>
        </w:rPr>
        <w:t xml:space="preserve"> indukcinės dozės pacientui skiriamos 0 savaitę, 4 savaitę ir 8 savaitę.</w:t>
      </w:r>
    </w:p>
    <w:p w14:paraId="004DD70A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pacing w:val="-4"/>
          <w:sz w:val="20"/>
        </w:rPr>
      </w:pPr>
    </w:p>
    <w:p w14:paraId="43E64FA9" w14:textId="37A5F9BF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3.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2A7960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>pagal 1 arba 2 punktą, kur indukcinė dozė skiriama per 12 savaičių indukcinio dozavimo laikotarpį.</w:t>
      </w:r>
    </w:p>
    <w:p w14:paraId="2A9E4316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6BA6B105" w14:textId="5F0E1D08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4.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>pagal 1 punktą, kur viena, dvi arba trys prailgintos indukcinės dozės skiriamos pacientui, jei pacientas nepasiekė terapinio poveikio praėjus 4 savaitėms po paskutinės indukcinės dozės skyrimo.</w:t>
      </w:r>
    </w:p>
    <w:p w14:paraId="1D22AD01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7F0A1BC6" w14:textId="568C8C53" w:rsidR="00C973E2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5.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>pagal 1 arba 4 punktą, kur dvi arba trys prailgintos indukcinės dozės skiriamos kas 4 savaites.</w:t>
      </w:r>
    </w:p>
    <w:p w14:paraId="68E5FB64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607863D7" w14:textId="23154DEC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6.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>pagal 5 punktą, kur trys prailgintos indukcinės dozės skiriamos kas 4 savaites.</w:t>
      </w:r>
    </w:p>
    <w:p w14:paraId="02B54A36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2984A8A3" w14:textId="5ED99D17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pacing w:val="-2"/>
          <w:sz w:val="20"/>
        </w:rPr>
      </w:pPr>
      <w:r w:rsidRPr="00697CBC">
        <w:rPr>
          <w:rFonts w:ascii="Helvetica" w:hAnsi="Helvetica"/>
          <w:spacing w:val="-2"/>
          <w:sz w:val="20"/>
        </w:rPr>
        <w:t>7.</w:t>
      </w:r>
      <w:r w:rsidR="00697CBC" w:rsidRPr="00697CBC">
        <w:rPr>
          <w:rFonts w:ascii="Helvetica" w:hAnsi="Helvetica"/>
          <w:spacing w:val="-2"/>
          <w:sz w:val="20"/>
        </w:rPr>
        <w:t xml:space="preserve"> </w:t>
      </w:r>
      <w:proofErr w:type="spellStart"/>
      <w:r w:rsidRPr="00697CBC">
        <w:rPr>
          <w:rFonts w:ascii="Helvetica" w:hAnsi="Helvetica"/>
          <w:spacing w:val="-2"/>
          <w:sz w:val="20"/>
        </w:rPr>
        <w:t>Mirikizumabas</w:t>
      </w:r>
      <w:proofErr w:type="spellEnd"/>
      <w:r w:rsidRPr="00697CBC">
        <w:rPr>
          <w:rFonts w:ascii="Helvetica" w:hAnsi="Helvetica"/>
          <w:spacing w:val="-2"/>
          <w:sz w:val="20"/>
        </w:rPr>
        <w:t xml:space="preserve">, skirtas naudoti </w:t>
      </w:r>
      <w:r w:rsidR="00051330" w:rsidRPr="00697CBC">
        <w:rPr>
          <w:rFonts w:ascii="Helvetica" w:hAnsi="Helvetica"/>
          <w:spacing w:val="-2"/>
          <w:sz w:val="20"/>
        </w:rPr>
        <w:t xml:space="preserve">opinio kolito </w:t>
      </w:r>
      <w:r w:rsidRPr="00697CBC">
        <w:rPr>
          <w:rFonts w:ascii="Helvetica" w:hAnsi="Helvetica"/>
          <w:spacing w:val="-2"/>
          <w:sz w:val="20"/>
        </w:rPr>
        <w:t>gydym</w:t>
      </w:r>
      <w:r w:rsidR="00745654" w:rsidRPr="00697CBC">
        <w:rPr>
          <w:rFonts w:ascii="Helvetica" w:hAnsi="Helvetica"/>
          <w:spacing w:val="-2"/>
          <w:sz w:val="20"/>
        </w:rPr>
        <w:t>ui</w:t>
      </w:r>
      <w:r w:rsidRPr="00697CBC">
        <w:rPr>
          <w:rFonts w:ascii="Helvetica" w:hAnsi="Helvetica"/>
          <w:spacing w:val="-2"/>
          <w:sz w:val="20"/>
        </w:rPr>
        <w:t xml:space="preserve"> pagal bet kurį vieną iš 1–6 punktų, kur pirmoji palaikomoji dozė skiriama praėjus 4–6 savaitėms po paskutinės indukcinės dozės arba paskutinės prailgintos indukcinės dozės skyrimo.</w:t>
      </w:r>
    </w:p>
    <w:p w14:paraId="337A5D42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pacing w:val="-2"/>
          <w:sz w:val="20"/>
        </w:rPr>
      </w:pPr>
    </w:p>
    <w:p w14:paraId="5EF2392C" w14:textId="52333749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8.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>pagal 7 punktą, kur pirmoji palaikomoji dozė skiriama praėjus 4 savaitėms po paskutinės indukcinės dozės arba paskutinės prailgintos indukcinės dozės skyrimo.</w:t>
      </w:r>
    </w:p>
    <w:p w14:paraId="77A60CAE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3FA74BE3" w14:textId="4CE417CB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9.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Pr="00697CBC">
        <w:rPr>
          <w:rFonts w:ascii="Helvetica" w:hAnsi="Helvetica"/>
          <w:sz w:val="20"/>
        </w:rPr>
        <w:t>gydym</w:t>
      </w:r>
      <w:r w:rsidR="00745654" w:rsidRPr="00697CBC">
        <w:rPr>
          <w:rFonts w:ascii="Helvetica" w:hAnsi="Helvetica"/>
          <w:sz w:val="20"/>
        </w:rPr>
        <w:t>ui</w:t>
      </w:r>
      <w:r w:rsidRPr="00697CBC">
        <w:rPr>
          <w:rFonts w:ascii="Helvetica" w:hAnsi="Helvetica"/>
          <w:sz w:val="20"/>
        </w:rPr>
        <w:t xml:space="preserve"> pagal 7 arba 8 punktą, kur </w:t>
      </w:r>
      <w:r w:rsidR="00D26D45" w:rsidRPr="00697CBC">
        <w:rPr>
          <w:rFonts w:ascii="Helvetica" w:hAnsi="Helvetica"/>
          <w:sz w:val="20"/>
        </w:rPr>
        <w:t>paskesnė</w:t>
      </w:r>
      <w:r w:rsidRPr="00697CBC">
        <w:rPr>
          <w:rFonts w:ascii="Helvetica" w:hAnsi="Helvetica"/>
          <w:sz w:val="20"/>
        </w:rPr>
        <w:t xml:space="preserve"> (-ės) palaikomoji (-</w:t>
      </w:r>
      <w:proofErr w:type="spellStart"/>
      <w:r w:rsidRPr="00697CBC">
        <w:rPr>
          <w:rFonts w:ascii="Helvetica" w:hAnsi="Helvetica"/>
          <w:sz w:val="20"/>
        </w:rPr>
        <w:t>osios</w:t>
      </w:r>
      <w:proofErr w:type="spellEnd"/>
      <w:r w:rsidRPr="00697CBC">
        <w:rPr>
          <w:rFonts w:ascii="Helvetica" w:hAnsi="Helvetica"/>
          <w:sz w:val="20"/>
        </w:rPr>
        <w:t>) dozė (-ės) skiriama (-</w:t>
      </w:r>
      <w:proofErr w:type="spellStart"/>
      <w:r w:rsidRPr="00697CBC">
        <w:rPr>
          <w:rFonts w:ascii="Helvetica" w:hAnsi="Helvetica"/>
          <w:sz w:val="20"/>
        </w:rPr>
        <w:t>os</w:t>
      </w:r>
      <w:proofErr w:type="spellEnd"/>
      <w:r w:rsidRPr="00697CBC">
        <w:rPr>
          <w:rFonts w:ascii="Helvetica" w:hAnsi="Helvetica"/>
          <w:sz w:val="20"/>
        </w:rPr>
        <w:t>) kas 4, 8 arba 12 savaičių po pirmosios palaikomosios dozės skyrimo.</w:t>
      </w:r>
    </w:p>
    <w:p w14:paraId="40D20D76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625604CC" w14:textId="4AD07F5B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10.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Pr="00697CBC">
        <w:rPr>
          <w:rFonts w:ascii="Helvetica" w:hAnsi="Helvetica"/>
          <w:sz w:val="20"/>
        </w:rPr>
        <w:t>gydym</w:t>
      </w:r>
      <w:r w:rsidR="00745654" w:rsidRPr="00697CBC">
        <w:rPr>
          <w:rFonts w:ascii="Helvetica" w:hAnsi="Helvetica"/>
          <w:sz w:val="20"/>
        </w:rPr>
        <w:t>ui</w:t>
      </w:r>
      <w:r w:rsidRPr="00697CBC">
        <w:rPr>
          <w:rFonts w:ascii="Helvetica" w:hAnsi="Helvetica"/>
          <w:sz w:val="20"/>
        </w:rPr>
        <w:t xml:space="preserve"> pagal 9 punktą, kur </w:t>
      </w:r>
      <w:r w:rsidR="00D26D45" w:rsidRPr="00697CBC">
        <w:rPr>
          <w:rFonts w:ascii="Helvetica" w:hAnsi="Helvetica"/>
          <w:sz w:val="20"/>
        </w:rPr>
        <w:t>paskesnė</w:t>
      </w:r>
      <w:r w:rsidR="006A293B" w:rsidRPr="00697CBC">
        <w:rPr>
          <w:rFonts w:ascii="Helvetica" w:hAnsi="Helvetica"/>
          <w:sz w:val="20"/>
        </w:rPr>
        <w:t> </w:t>
      </w:r>
      <w:r w:rsidRPr="00697CBC">
        <w:rPr>
          <w:rFonts w:ascii="Helvetica" w:hAnsi="Helvetica"/>
          <w:sz w:val="20"/>
        </w:rPr>
        <w:t>(</w:t>
      </w:r>
      <w:r w:rsidR="006A293B" w:rsidRPr="00697CBC">
        <w:rPr>
          <w:rFonts w:ascii="Helvetica" w:hAnsi="Helvetica"/>
          <w:sz w:val="20"/>
        </w:rPr>
        <w:noBreakHyphen/>
      </w:r>
      <w:r w:rsidRPr="00697CBC">
        <w:rPr>
          <w:rFonts w:ascii="Helvetica" w:hAnsi="Helvetica"/>
          <w:sz w:val="20"/>
        </w:rPr>
        <w:t>ės) palaikomoji (-</w:t>
      </w:r>
      <w:proofErr w:type="spellStart"/>
      <w:r w:rsidRPr="00697CBC">
        <w:rPr>
          <w:rFonts w:ascii="Helvetica" w:hAnsi="Helvetica"/>
          <w:sz w:val="20"/>
        </w:rPr>
        <w:t>osios</w:t>
      </w:r>
      <w:proofErr w:type="spellEnd"/>
      <w:r w:rsidRPr="00697CBC">
        <w:rPr>
          <w:rFonts w:ascii="Helvetica" w:hAnsi="Helvetica"/>
          <w:sz w:val="20"/>
        </w:rPr>
        <w:t>) dozė (-ės) skiriama (-</w:t>
      </w:r>
      <w:proofErr w:type="spellStart"/>
      <w:r w:rsidRPr="00697CBC">
        <w:rPr>
          <w:rFonts w:ascii="Helvetica" w:hAnsi="Helvetica"/>
          <w:sz w:val="20"/>
        </w:rPr>
        <w:t>os</w:t>
      </w:r>
      <w:proofErr w:type="spellEnd"/>
      <w:r w:rsidRPr="00697CBC">
        <w:rPr>
          <w:rFonts w:ascii="Helvetica" w:hAnsi="Helvetica"/>
          <w:sz w:val="20"/>
        </w:rPr>
        <w:t>) kas 4 savaites po pirmosios palaikomosios dozės skyrimo.</w:t>
      </w:r>
    </w:p>
    <w:p w14:paraId="2AD498D4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231EC7DC" w14:textId="6A8ECA49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11.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 xml:space="preserve">pagal bet kurį vieną iš 1–10 punktų, kur gydymas papildomai apima vienos, dviejų arba trijų </w:t>
      </w:r>
      <w:r w:rsidR="00D26D45" w:rsidRPr="00697CBC">
        <w:rPr>
          <w:rFonts w:ascii="Helvetica" w:hAnsi="Helvetica"/>
          <w:sz w:val="20"/>
        </w:rPr>
        <w:t>greito veikimo gelbstinčių</w:t>
      </w:r>
      <w:r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 xml:space="preserve"> dozių skyrimą pacientui intravenine infuzija, kur viena, dvi arba trys </w:t>
      </w:r>
      <w:r w:rsidR="001735F6" w:rsidRPr="00697CBC">
        <w:rPr>
          <w:rFonts w:ascii="Helvetica" w:hAnsi="Helvetica"/>
          <w:sz w:val="20"/>
        </w:rPr>
        <w:t xml:space="preserve">greito veikimo </w:t>
      </w:r>
      <w:r w:rsidRPr="00697CBC">
        <w:rPr>
          <w:rFonts w:ascii="Helvetica" w:hAnsi="Helvetica"/>
          <w:sz w:val="20"/>
        </w:rPr>
        <w:t xml:space="preserve">gelbstinčios dozės apima </w:t>
      </w:r>
      <w:r w:rsidR="00932B6D" w:rsidRPr="00697CBC">
        <w:rPr>
          <w:rFonts w:ascii="Helvetica" w:hAnsi="Helvetica"/>
          <w:sz w:val="20"/>
        </w:rPr>
        <w:t>300 mg</w:t>
      </w:r>
      <w:r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>.</w:t>
      </w:r>
    </w:p>
    <w:p w14:paraId="17423E00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0877E9BA" w14:textId="2C2FA348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12.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 xml:space="preserve">pagal 11 punktą, kur dvi arba trys </w:t>
      </w:r>
      <w:r w:rsidR="001735F6" w:rsidRPr="00697CBC">
        <w:rPr>
          <w:rFonts w:ascii="Helvetica" w:hAnsi="Helvetica"/>
          <w:sz w:val="20"/>
        </w:rPr>
        <w:t>greito veikimo gelbstinčios</w:t>
      </w:r>
      <w:r w:rsidRPr="00697CBC">
        <w:rPr>
          <w:rFonts w:ascii="Helvetica" w:hAnsi="Helvetica"/>
          <w:sz w:val="20"/>
        </w:rPr>
        <w:t xml:space="preserve"> dozės skiriamos kas 4 savaites.</w:t>
      </w:r>
    </w:p>
    <w:p w14:paraId="3FD45AF2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05D6D2DC" w14:textId="54461B65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13.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 xml:space="preserve">pagal 12 punktą, kur trys </w:t>
      </w:r>
      <w:r w:rsidR="001735F6" w:rsidRPr="00697CBC">
        <w:rPr>
          <w:rFonts w:ascii="Helvetica" w:hAnsi="Helvetica"/>
          <w:sz w:val="20"/>
        </w:rPr>
        <w:t>greito veikimo gelbstinčios</w:t>
      </w:r>
      <w:r w:rsidRPr="00697CBC">
        <w:rPr>
          <w:rFonts w:ascii="Helvetica" w:hAnsi="Helvetica"/>
          <w:sz w:val="20"/>
        </w:rPr>
        <w:t xml:space="preserve"> dozės skiriamos kas 4 savaites.</w:t>
      </w:r>
    </w:p>
    <w:p w14:paraId="526D3A69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1D7CAABB" w14:textId="681F2105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pacing w:val="-4"/>
          <w:sz w:val="20"/>
        </w:rPr>
      </w:pPr>
      <w:r w:rsidRPr="00697CBC">
        <w:rPr>
          <w:rFonts w:ascii="Helvetica" w:hAnsi="Helvetica"/>
          <w:spacing w:val="-4"/>
          <w:sz w:val="20"/>
        </w:rPr>
        <w:t>14.</w:t>
      </w:r>
      <w:r w:rsidR="00697CBC" w:rsidRPr="00697CBC">
        <w:rPr>
          <w:rFonts w:ascii="Helvetica" w:hAnsi="Helvetica"/>
          <w:spacing w:val="-4"/>
          <w:sz w:val="20"/>
        </w:rPr>
        <w:t xml:space="preserve"> </w:t>
      </w:r>
      <w:proofErr w:type="spellStart"/>
      <w:r w:rsidRPr="00697CBC">
        <w:rPr>
          <w:rFonts w:ascii="Helvetica" w:hAnsi="Helvetica"/>
          <w:spacing w:val="-4"/>
          <w:sz w:val="20"/>
        </w:rPr>
        <w:t>Mirikizumabas</w:t>
      </w:r>
      <w:proofErr w:type="spellEnd"/>
      <w:r w:rsidRPr="00697CBC">
        <w:rPr>
          <w:rFonts w:ascii="Helvetica" w:hAnsi="Helvetica"/>
          <w:spacing w:val="-4"/>
          <w:sz w:val="20"/>
        </w:rPr>
        <w:t xml:space="preserve">, skirtas naudoti </w:t>
      </w:r>
      <w:r w:rsidR="00051330" w:rsidRPr="00697CBC">
        <w:rPr>
          <w:rFonts w:ascii="Helvetica" w:hAnsi="Helvetica"/>
          <w:spacing w:val="-4"/>
          <w:sz w:val="20"/>
        </w:rPr>
        <w:t xml:space="preserve">opinio kolito </w:t>
      </w:r>
      <w:r w:rsidR="00745654" w:rsidRPr="00697CBC">
        <w:rPr>
          <w:rFonts w:ascii="Helvetica" w:hAnsi="Helvetica"/>
          <w:spacing w:val="-4"/>
          <w:sz w:val="20"/>
        </w:rPr>
        <w:t xml:space="preserve">gydymui </w:t>
      </w:r>
      <w:r w:rsidRPr="00697CBC">
        <w:rPr>
          <w:rFonts w:ascii="Helvetica" w:hAnsi="Helvetica"/>
          <w:spacing w:val="-4"/>
          <w:sz w:val="20"/>
        </w:rPr>
        <w:t xml:space="preserve">pagal 12 arba 13 punktą, kur pacientui skiriama viena arba daugiau papildomų palaikomųjų </w:t>
      </w:r>
      <w:proofErr w:type="spellStart"/>
      <w:r w:rsidRPr="00697CBC">
        <w:rPr>
          <w:rFonts w:ascii="Helvetica" w:hAnsi="Helvetica"/>
          <w:spacing w:val="-4"/>
          <w:sz w:val="20"/>
        </w:rPr>
        <w:t>mirikizumabo</w:t>
      </w:r>
      <w:proofErr w:type="spellEnd"/>
      <w:r w:rsidRPr="00697CBC">
        <w:rPr>
          <w:rFonts w:ascii="Helvetica" w:hAnsi="Helvetica"/>
          <w:spacing w:val="-4"/>
          <w:sz w:val="20"/>
        </w:rPr>
        <w:t xml:space="preserve"> dozių injekcijomis po oda, jei pacientas vėl pasiekia terapinį poveikį praėjus 4–12 savaičių po paskutinės </w:t>
      </w:r>
      <w:r w:rsidR="001735F6" w:rsidRPr="00697CBC">
        <w:rPr>
          <w:rFonts w:ascii="Helvetica" w:hAnsi="Helvetica"/>
          <w:spacing w:val="-4"/>
          <w:sz w:val="20"/>
        </w:rPr>
        <w:t>greito veikimo gelbstinčios</w:t>
      </w:r>
      <w:r w:rsidRPr="00697CBC">
        <w:rPr>
          <w:rFonts w:ascii="Helvetica" w:hAnsi="Helvetica"/>
          <w:spacing w:val="-4"/>
          <w:sz w:val="20"/>
        </w:rPr>
        <w:t xml:space="preserve"> dozės skyrimo, kur viena arba daugiau papildomų palaikomųjų dozių apima </w:t>
      </w:r>
      <w:r w:rsidR="00932B6D" w:rsidRPr="00697CBC">
        <w:rPr>
          <w:rFonts w:ascii="Helvetica" w:hAnsi="Helvetica"/>
          <w:spacing w:val="-4"/>
          <w:sz w:val="20"/>
        </w:rPr>
        <w:t>200 mg</w:t>
      </w:r>
      <w:r w:rsidRPr="00697CBC">
        <w:rPr>
          <w:rFonts w:ascii="Helvetica" w:hAnsi="Helvetica"/>
          <w:spacing w:val="-4"/>
          <w:sz w:val="20"/>
        </w:rPr>
        <w:t xml:space="preserve"> </w:t>
      </w:r>
      <w:proofErr w:type="spellStart"/>
      <w:r w:rsidRPr="00697CBC">
        <w:rPr>
          <w:rFonts w:ascii="Helvetica" w:hAnsi="Helvetica"/>
          <w:spacing w:val="-4"/>
          <w:sz w:val="20"/>
        </w:rPr>
        <w:t>mirikizumabo</w:t>
      </w:r>
      <w:proofErr w:type="spellEnd"/>
      <w:r w:rsidRPr="00697CBC">
        <w:rPr>
          <w:rFonts w:ascii="Helvetica" w:hAnsi="Helvetica"/>
          <w:spacing w:val="-4"/>
          <w:sz w:val="20"/>
        </w:rPr>
        <w:t>.</w:t>
      </w:r>
    </w:p>
    <w:p w14:paraId="569A4572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pacing w:val="-4"/>
          <w:sz w:val="20"/>
        </w:rPr>
      </w:pPr>
    </w:p>
    <w:p w14:paraId="0D565F13" w14:textId="7212E561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15.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 xml:space="preserve">pagal 14 punktą, kur pacientui skiriamos kelios papildomos palaikomosios dozės ir kur pirmoji papildoma palaikomoji dozė skiriama praėjus 4, 5, 6, 7 arba 8 savaitėms po paskutinės </w:t>
      </w:r>
      <w:r w:rsidR="001735F6" w:rsidRPr="00697CBC">
        <w:rPr>
          <w:rFonts w:ascii="Helvetica" w:hAnsi="Helvetica"/>
          <w:sz w:val="20"/>
        </w:rPr>
        <w:t>greito veikimo gelbstinčios</w:t>
      </w:r>
      <w:r w:rsidRPr="00697CBC">
        <w:rPr>
          <w:rFonts w:ascii="Helvetica" w:hAnsi="Helvetica"/>
          <w:sz w:val="20"/>
        </w:rPr>
        <w:t xml:space="preserve"> dozės skyrimo.</w:t>
      </w:r>
    </w:p>
    <w:p w14:paraId="49D43D7F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5E1ABB49" w14:textId="27C38B3B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16.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 xml:space="preserve">pagal 15 punktą, kur pirmoji papildoma palaikomoji dozė skiriama praėjus 4 savaitėms po paskutinės </w:t>
      </w:r>
      <w:r w:rsidR="001735F6" w:rsidRPr="00697CBC">
        <w:rPr>
          <w:rFonts w:ascii="Helvetica" w:hAnsi="Helvetica"/>
          <w:sz w:val="20"/>
        </w:rPr>
        <w:t>greito veikimo gelbstinčios</w:t>
      </w:r>
      <w:r w:rsidRPr="00697CBC">
        <w:rPr>
          <w:rFonts w:ascii="Helvetica" w:hAnsi="Helvetica"/>
          <w:sz w:val="20"/>
        </w:rPr>
        <w:t xml:space="preserve"> dozės skyrimo.</w:t>
      </w:r>
    </w:p>
    <w:p w14:paraId="5ABD82CE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21C36DB2" w14:textId="2FDB32E4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17.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Pr="00697CBC">
        <w:rPr>
          <w:rFonts w:ascii="Helvetica" w:hAnsi="Helvetica"/>
          <w:sz w:val="20"/>
        </w:rPr>
        <w:t>gydym</w:t>
      </w:r>
      <w:r w:rsidR="00745654" w:rsidRPr="00697CBC">
        <w:rPr>
          <w:rFonts w:ascii="Helvetica" w:hAnsi="Helvetica"/>
          <w:sz w:val="20"/>
        </w:rPr>
        <w:t>ui</w:t>
      </w:r>
      <w:r w:rsidRPr="00697CBC">
        <w:rPr>
          <w:rFonts w:ascii="Helvetica" w:hAnsi="Helvetica"/>
          <w:sz w:val="20"/>
        </w:rPr>
        <w:t xml:space="preserve"> pagal 15 ir 16 punktą, kur </w:t>
      </w:r>
      <w:r w:rsidR="00D26D45" w:rsidRPr="00697CBC">
        <w:rPr>
          <w:rFonts w:ascii="Helvetica" w:hAnsi="Helvetica"/>
          <w:sz w:val="20"/>
        </w:rPr>
        <w:t>paskesnė</w:t>
      </w:r>
      <w:r w:rsidRPr="00697CBC">
        <w:rPr>
          <w:rFonts w:ascii="Helvetica" w:hAnsi="Helvetica"/>
          <w:sz w:val="20"/>
        </w:rPr>
        <w:t xml:space="preserve"> (-ės) papildoma (-</w:t>
      </w:r>
      <w:proofErr w:type="spellStart"/>
      <w:r w:rsidRPr="00697CBC">
        <w:rPr>
          <w:rFonts w:ascii="Helvetica" w:hAnsi="Helvetica"/>
          <w:sz w:val="20"/>
        </w:rPr>
        <w:t>os</w:t>
      </w:r>
      <w:proofErr w:type="spellEnd"/>
      <w:r w:rsidRPr="00697CBC">
        <w:rPr>
          <w:rFonts w:ascii="Helvetica" w:hAnsi="Helvetica"/>
          <w:sz w:val="20"/>
        </w:rPr>
        <w:t>) palaikomoji (-</w:t>
      </w:r>
      <w:proofErr w:type="spellStart"/>
      <w:r w:rsidRPr="00697CBC">
        <w:rPr>
          <w:rFonts w:ascii="Helvetica" w:hAnsi="Helvetica"/>
          <w:sz w:val="20"/>
        </w:rPr>
        <w:t>osios</w:t>
      </w:r>
      <w:proofErr w:type="spellEnd"/>
      <w:r w:rsidRPr="00697CBC">
        <w:rPr>
          <w:rFonts w:ascii="Helvetica" w:hAnsi="Helvetica"/>
          <w:sz w:val="20"/>
        </w:rPr>
        <w:t>) dozė (-ės) skiriama (-</w:t>
      </w:r>
      <w:proofErr w:type="spellStart"/>
      <w:r w:rsidRPr="00697CBC">
        <w:rPr>
          <w:rFonts w:ascii="Helvetica" w:hAnsi="Helvetica"/>
          <w:sz w:val="20"/>
        </w:rPr>
        <w:t>os</w:t>
      </w:r>
      <w:proofErr w:type="spellEnd"/>
      <w:r w:rsidRPr="00697CBC">
        <w:rPr>
          <w:rFonts w:ascii="Helvetica" w:hAnsi="Helvetica"/>
          <w:sz w:val="20"/>
        </w:rPr>
        <w:t>) kas 4, 8 arba 12 savaičių po pirmosios papildomos palaikomosios dozės skyrimo.</w:t>
      </w:r>
    </w:p>
    <w:p w14:paraId="1E319C1B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6FEB1055" w14:textId="505165ED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18.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 xml:space="preserve">pagal 17 punktą, kur </w:t>
      </w:r>
      <w:r w:rsidR="00D26D45" w:rsidRPr="00697CBC">
        <w:rPr>
          <w:rFonts w:ascii="Helvetica" w:hAnsi="Helvetica"/>
          <w:sz w:val="20"/>
        </w:rPr>
        <w:t>paskesnė</w:t>
      </w:r>
      <w:r w:rsidR="006A293B" w:rsidRPr="00697CBC">
        <w:rPr>
          <w:rFonts w:ascii="Helvetica" w:hAnsi="Helvetica"/>
          <w:sz w:val="20"/>
        </w:rPr>
        <w:t> </w:t>
      </w:r>
      <w:r w:rsidRPr="00697CBC">
        <w:rPr>
          <w:rFonts w:ascii="Helvetica" w:hAnsi="Helvetica"/>
          <w:sz w:val="20"/>
        </w:rPr>
        <w:t>(</w:t>
      </w:r>
      <w:r w:rsidR="006A293B" w:rsidRPr="00697CBC">
        <w:rPr>
          <w:rFonts w:ascii="Helvetica" w:hAnsi="Helvetica"/>
          <w:sz w:val="20"/>
        </w:rPr>
        <w:noBreakHyphen/>
      </w:r>
      <w:r w:rsidRPr="00697CBC">
        <w:rPr>
          <w:rFonts w:ascii="Helvetica" w:hAnsi="Helvetica"/>
          <w:sz w:val="20"/>
        </w:rPr>
        <w:t>ės) papildoma (-</w:t>
      </w:r>
      <w:proofErr w:type="spellStart"/>
      <w:r w:rsidRPr="00697CBC">
        <w:rPr>
          <w:rFonts w:ascii="Helvetica" w:hAnsi="Helvetica"/>
          <w:sz w:val="20"/>
        </w:rPr>
        <w:t>os</w:t>
      </w:r>
      <w:proofErr w:type="spellEnd"/>
      <w:r w:rsidRPr="00697CBC">
        <w:rPr>
          <w:rFonts w:ascii="Helvetica" w:hAnsi="Helvetica"/>
          <w:sz w:val="20"/>
        </w:rPr>
        <w:t>) palaikomoji (-</w:t>
      </w:r>
      <w:proofErr w:type="spellStart"/>
      <w:r w:rsidRPr="00697CBC">
        <w:rPr>
          <w:rFonts w:ascii="Helvetica" w:hAnsi="Helvetica"/>
          <w:sz w:val="20"/>
        </w:rPr>
        <w:t>osios</w:t>
      </w:r>
      <w:proofErr w:type="spellEnd"/>
      <w:r w:rsidRPr="00697CBC">
        <w:rPr>
          <w:rFonts w:ascii="Helvetica" w:hAnsi="Helvetica"/>
          <w:sz w:val="20"/>
        </w:rPr>
        <w:t>) dozė (-ės) skiriama (-</w:t>
      </w:r>
      <w:proofErr w:type="spellStart"/>
      <w:r w:rsidRPr="00697CBC">
        <w:rPr>
          <w:rFonts w:ascii="Helvetica" w:hAnsi="Helvetica"/>
          <w:sz w:val="20"/>
        </w:rPr>
        <w:t>os</w:t>
      </w:r>
      <w:proofErr w:type="spellEnd"/>
      <w:r w:rsidRPr="00697CBC">
        <w:rPr>
          <w:rFonts w:ascii="Helvetica" w:hAnsi="Helvetica"/>
          <w:sz w:val="20"/>
        </w:rPr>
        <w:t>) kas 4</w:t>
      </w:r>
      <w:r w:rsidR="006A293B" w:rsidRPr="00697CBC">
        <w:rPr>
          <w:rFonts w:ascii="Helvetica" w:hAnsi="Helvetica"/>
          <w:sz w:val="20"/>
        </w:rPr>
        <w:t> </w:t>
      </w:r>
      <w:r w:rsidRPr="00697CBC">
        <w:rPr>
          <w:rFonts w:ascii="Helvetica" w:hAnsi="Helvetica"/>
          <w:sz w:val="20"/>
        </w:rPr>
        <w:t>savaites po pirmosios papildomos palaikomosios dozės skyrimo.</w:t>
      </w:r>
    </w:p>
    <w:p w14:paraId="29893472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1B53A45E" w14:textId="33878D4E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19.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>pagal 1 punktą, kur pacientas anksčiau nebuvo gydytas biologiniais preparatais.</w:t>
      </w:r>
    </w:p>
    <w:p w14:paraId="1985C230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007DDD65" w14:textId="5A823132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20.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>pagal 1 punktą, kur pacientas anksčiau buvo gydytas biologiniais preparatais.</w:t>
      </w:r>
    </w:p>
    <w:p w14:paraId="6CC35136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4554A44C" w14:textId="5753AD1A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21.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051330" w:rsidRPr="00697CBC">
        <w:rPr>
          <w:rFonts w:ascii="Helvetica" w:hAnsi="Helvetica"/>
          <w:sz w:val="20"/>
        </w:rPr>
        <w:t xml:space="preserve">opinio kolito </w:t>
      </w:r>
      <w:r w:rsidRPr="00697CBC">
        <w:rPr>
          <w:rFonts w:ascii="Helvetica" w:hAnsi="Helvetica"/>
          <w:sz w:val="20"/>
        </w:rPr>
        <w:t xml:space="preserve">gydyme pagal 1 punktą, kur </w:t>
      </w:r>
      <w:r w:rsidR="00745654" w:rsidRPr="00697CBC">
        <w:rPr>
          <w:rFonts w:ascii="Helvetica" w:hAnsi="Helvetica"/>
          <w:sz w:val="20"/>
        </w:rPr>
        <w:t xml:space="preserve">paciento </w:t>
      </w:r>
      <w:r w:rsidRPr="00697CBC">
        <w:rPr>
          <w:rFonts w:ascii="Helvetica" w:hAnsi="Helvetica"/>
          <w:sz w:val="20"/>
        </w:rPr>
        <w:t xml:space="preserve">gydymas biologiniais arba tradiciniais preparatais </w:t>
      </w:r>
      <w:r w:rsidR="00745654" w:rsidRPr="00697CBC">
        <w:rPr>
          <w:rFonts w:ascii="Helvetica" w:hAnsi="Helvetica"/>
          <w:sz w:val="20"/>
        </w:rPr>
        <w:t>ne</w:t>
      </w:r>
      <w:r w:rsidRPr="00697CBC">
        <w:rPr>
          <w:rFonts w:ascii="Helvetica" w:hAnsi="Helvetica"/>
          <w:sz w:val="20"/>
        </w:rPr>
        <w:t>buvo veiksmingas.</w:t>
      </w:r>
    </w:p>
    <w:p w14:paraId="1ADA38DE" w14:textId="77777777" w:rsidR="00697CBC" w:rsidRPr="00697CBC" w:rsidRDefault="00697CBC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55B96C7B" w14:textId="3A3C856A" w:rsidR="00932B6D" w:rsidRPr="00697CBC" w:rsidRDefault="00814CEF" w:rsidP="00697CBC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>22.</w:t>
      </w:r>
      <w:r w:rsidR="00697CBC"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Mirikizumabas</w:t>
      </w:r>
      <w:proofErr w:type="spellEnd"/>
      <w:r w:rsidRPr="00697CBC">
        <w:rPr>
          <w:rFonts w:ascii="Helvetica" w:hAnsi="Helvetica"/>
          <w:sz w:val="20"/>
        </w:rPr>
        <w:t xml:space="preserve">, skirtas naudoti </w:t>
      </w:r>
      <w:r w:rsidR="001735F6" w:rsidRPr="00697CBC">
        <w:rPr>
          <w:rFonts w:ascii="Helvetica" w:hAnsi="Helvetica"/>
          <w:sz w:val="20"/>
        </w:rPr>
        <w:t xml:space="preserve">opinio kolito </w:t>
      </w:r>
      <w:r w:rsidR="00745654" w:rsidRPr="00697CBC">
        <w:rPr>
          <w:rFonts w:ascii="Helvetica" w:hAnsi="Helvetica"/>
          <w:sz w:val="20"/>
        </w:rPr>
        <w:t xml:space="preserve">gydymui </w:t>
      </w:r>
      <w:r w:rsidRPr="00697CBC">
        <w:rPr>
          <w:rFonts w:ascii="Helvetica" w:hAnsi="Helvetica"/>
          <w:sz w:val="20"/>
        </w:rPr>
        <w:t>pagal 1 punktą, kur gydymas papildomai apima:</w:t>
      </w:r>
    </w:p>
    <w:p w14:paraId="63B900BE" w14:textId="76C8F862" w:rsidR="00932B6D" w:rsidRPr="00697CBC" w:rsidRDefault="00814CEF" w:rsidP="00697CBC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lastRenderedPageBreak/>
        <w:t xml:space="preserve">trijų </w:t>
      </w:r>
      <w:r w:rsidR="00D26D45" w:rsidRPr="00697CBC">
        <w:rPr>
          <w:rFonts w:ascii="Helvetica" w:hAnsi="Helvetica"/>
          <w:sz w:val="20"/>
        </w:rPr>
        <w:t>greito veikimo gelbstinčių</w:t>
      </w:r>
      <w:r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 xml:space="preserve"> dozių skyrimą pacientui intravenine infuzija palaikomojo dozavimo metu kas 4 savaites,</w:t>
      </w:r>
    </w:p>
    <w:p w14:paraId="00BF8A5F" w14:textId="76DC26CA" w:rsidR="00932B6D" w:rsidRPr="00697CBC" w:rsidRDefault="00814CEF" w:rsidP="00697CBC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 xml:space="preserve">kur kiekviena gelbstinčioji dozė apima </w:t>
      </w:r>
      <w:r w:rsidR="00932B6D" w:rsidRPr="00697CBC">
        <w:rPr>
          <w:rFonts w:ascii="Helvetica" w:hAnsi="Helvetica"/>
          <w:sz w:val="20"/>
        </w:rPr>
        <w:t>300 mg</w:t>
      </w:r>
      <w:r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>,</w:t>
      </w:r>
    </w:p>
    <w:p w14:paraId="659BCC89" w14:textId="2DAA3C68" w:rsidR="00932B6D" w:rsidRPr="00697CBC" w:rsidRDefault="00814CEF" w:rsidP="00697CBC">
      <w:pPr>
        <w:pStyle w:val="ID00079Claim"/>
        <w:spacing w:after="0"/>
        <w:jc w:val="both"/>
        <w:rPr>
          <w:rFonts w:ascii="Helvetica" w:hAnsi="Helvetica"/>
          <w:spacing w:val="2"/>
          <w:sz w:val="20"/>
        </w:rPr>
      </w:pPr>
      <w:r w:rsidRPr="00697CBC">
        <w:rPr>
          <w:rFonts w:ascii="Helvetica" w:hAnsi="Helvetica"/>
          <w:spacing w:val="2"/>
          <w:sz w:val="20"/>
        </w:rPr>
        <w:t xml:space="preserve">kur pacientui skiriamos papildomos palaikomosios </w:t>
      </w:r>
      <w:proofErr w:type="spellStart"/>
      <w:r w:rsidRPr="00697CBC">
        <w:rPr>
          <w:rFonts w:ascii="Helvetica" w:hAnsi="Helvetica"/>
          <w:spacing w:val="2"/>
          <w:sz w:val="20"/>
        </w:rPr>
        <w:t>mirikizumabo</w:t>
      </w:r>
      <w:proofErr w:type="spellEnd"/>
      <w:r w:rsidRPr="00697CBC">
        <w:rPr>
          <w:rFonts w:ascii="Helvetica" w:hAnsi="Helvetica"/>
          <w:spacing w:val="2"/>
          <w:sz w:val="20"/>
        </w:rPr>
        <w:t xml:space="preserve"> dozės, jei pacientas vėl pasiekia terapinį poveikį praėjus 4 savaitėms po paskutinės </w:t>
      </w:r>
      <w:r w:rsidR="001735F6" w:rsidRPr="00697CBC">
        <w:rPr>
          <w:rFonts w:ascii="Helvetica" w:hAnsi="Helvetica"/>
          <w:spacing w:val="2"/>
          <w:sz w:val="20"/>
        </w:rPr>
        <w:t>greito veikimo gelbstinčios</w:t>
      </w:r>
      <w:r w:rsidRPr="00697CBC">
        <w:rPr>
          <w:rFonts w:ascii="Helvetica" w:hAnsi="Helvetica"/>
          <w:spacing w:val="2"/>
          <w:sz w:val="20"/>
        </w:rPr>
        <w:t xml:space="preserve"> dozės skyrimo,</w:t>
      </w:r>
    </w:p>
    <w:p w14:paraId="70BCB9FC" w14:textId="1C777402" w:rsidR="00055C5A" w:rsidRPr="00697CBC" w:rsidRDefault="00814CEF" w:rsidP="00697CBC">
      <w:pPr>
        <w:pStyle w:val="ID00079Claim"/>
        <w:spacing w:after="0"/>
        <w:jc w:val="both"/>
        <w:rPr>
          <w:rFonts w:ascii="Helvetica" w:hAnsi="Helvetica"/>
          <w:sz w:val="20"/>
        </w:rPr>
      </w:pPr>
      <w:r w:rsidRPr="00697CBC">
        <w:rPr>
          <w:rFonts w:ascii="Helvetica" w:hAnsi="Helvetica"/>
          <w:sz w:val="20"/>
        </w:rPr>
        <w:t xml:space="preserve">kur pirmoji papildoma palaikomoji dozė skiriama praėjus 2–8 savaitėms po paskutinės </w:t>
      </w:r>
      <w:r w:rsidR="001735F6" w:rsidRPr="00697CBC">
        <w:rPr>
          <w:rFonts w:ascii="Helvetica" w:hAnsi="Helvetica"/>
          <w:sz w:val="20"/>
        </w:rPr>
        <w:t>greito veikimo gelbstinčios</w:t>
      </w:r>
      <w:r w:rsidRPr="00697CBC">
        <w:rPr>
          <w:rFonts w:ascii="Helvetica" w:hAnsi="Helvetica"/>
          <w:sz w:val="20"/>
        </w:rPr>
        <w:t xml:space="preserve"> dozės skyrimo ir kur kiekviena papildoma palaikomoji dozė apima </w:t>
      </w:r>
      <w:r w:rsidR="00932B6D" w:rsidRPr="00697CBC">
        <w:rPr>
          <w:rFonts w:ascii="Helvetica" w:hAnsi="Helvetica"/>
          <w:sz w:val="20"/>
        </w:rPr>
        <w:t>200 mg</w:t>
      </w:r>
      <w:r w:rsidRPr="00697CBC">
        <w:rPr>
          <w:rFonts w:ascii="Helvetica" w:hAnsi="Helvetica"/>
          <w:sz w:val="20"/>
        </w:rPr>
        <w:t xml:space="preserve"> </w:t>
      </w:r>
      <w:proofErr w:type="spellStart"/>
      <w:r w:rsidRPr="00697CBC">
        <w:rPr>
          <w:rFonts w:ascii="Helvetica" w:hAnsi="Helvetica"/>
          <w:sz w:val="20"/>
        </w:rPr>
        <w:t>mirikizumabo</w:t>
      </w:r>
      <w:proofErr w:type="spellEnd"/>
      <w:r w:rsidRPr="00697CBC">
        <w:rPr>
          <w:rFonts w:ascii="Helvetica" w:hAnsi="Helvetica"/>
          <w:sz w:val="20"/>
        </w:rPr>
        <w:t>.</w:t>
      </w:r>
    </w:p>
    <w:sectPr w:rsidR="00055C5A" w:rsidRPr="00697CBC" w:rsidSect="00697CBC">
      <w:headerReference w:type="even" r:id="rId7"/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6"/>
    <wne:keymap wne:mask="1" wne:kcmPrimary="0244"/>
    <wne:keymap wne:mask="1" wne:kcmPrimary="024B"/>
    <wne:keymap wne:mask="1" wne:kcmPrimary="024D"/>
    <wne:keymap wne:mask="1" wne:kcmPrimary="0251"/>
    <wne:keymap wne:mask="1" wne:kcmPrimary="0431"/>
    <wne:keymap wne:mask="1" wne:kcmPrimary="0432"/>
    <wne:keymap wne:mask="1" wne:kcmPrimary="0433"/>
    <wne:keymap wne:mask="1" wne:kcmPrimary="0434"/>
    <wne:keymap wne:mask="1" wne:kcmPrimary="0435"/>
    <wne:keymap wne:kcmPrimary="0442">
      <wne:acd wne:acdName="acd4"/>
    </wne:keymap>
    <wne:keymap wne:kcmPrimary="0443" wne:kcmSecondary="0060">
      <wne:acd wne:acdName="acd0"/>
    </wne:keymap>
    <wne:keymap wne:kcmPrimary="0444">
      <wne:acd wne:acdName="acd2"/>
    </wne:keymap>
    <wne:keymap wne:kcmPrimary="0447">
      <wne:acd wne:acdName="acd1"/>
    </wne:keymap>
    <wne:keymap wne:mask="1" wne:kcmPrimary="044F"/>
    <wne:keymap wne:kcmPrimary="0453" wne:kcmSecondary="0061">
      <wne:acd wne:acdName="acd3"/>
    </wne:keymap>
    <wne:keymap wne:kcmPrimary="0454" wne:kcmSecondary="0061">
      <wne:acd wne:acdName="acd5"/>
    </wne:keymap>
    <wne:keymap wne:kcmPrimary="0455" wne:kcmSecondary="0046">
      <wne:macro wne:macroName="TEMPLATEPROJECT.DTP_PROCESS.IP_UPDATE_FIELDS_"/>
    </wne:keymap>
    <wne:keymap wne:kcmPrimary="0456">
      <wne:macro wne:macroName="TEMPLATEPROJECT.TOOLS.IP_SMALLCAPS_"/>
    </wne:keymap>
    <wne:keymap wne:kcmPrimary="0641">
      <wne:macro wne:macroName="TEMPLATEPROJECT.DTP_INSERTION_IMAGES.IP_INSERT_ABSTRACT_"/>
    </wne:keymap>
    <wne:keymap wne:kcmPrimary="0642">
      <wne:macro wne:macroName="TEMPLATEPROJECT.DTP_INSERTION_IMAGES.IP_INSERT_TABLES_"/>
    </wne:keymap>
    <wne:keymap wne:kcmPrimary="064C">
      <wne:macro wne:macroName="TEMPLATEPROJECT.DTP_INSERTION_IMAGES.IP_INSERT_FIGURES_"/>
    </wne:keymap>
    <wne:keymap wne:kcmPrimary="0660">
      <wne:macro wne:macroName="TEMPLATEPROJECT.DTP_PROCESS.IP_RESET_VALUES"/>
    </wne:keymap>
    <wne:keymap wne:kcmPrimary="066A">
      <wne:macro wne:macroName="TEMPLATEPROJECT.DTP_PROCESS.IP_NO_SUB_SUPERSCRIPT_"/>
    </wne:keymap>
    <wne:keymap wne:kcmPrimary="066B">
      <wne:macro wne:macroName="TEMPLATEPROJECT.DTP_PROCESS.IP_SUPERSCRIPT_"/>
    </wne:keymap>
    <wne:keymap wne:kcmPrimary="066D">
      <wne:macro wne:macroName="TEMPLATEPROJECT.DTP_PROCESS.IP_SUBSCRIPT_"/>
    </wne:keymap>
    <wne:keymap wne:kcmPrimary="066F">
      <wne:macro wne:macroName="TEMPLATEPROJECT.DTP_PROCESS.IP_READY_TO_CLIENT_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gBbAEkARAAwADAAMAA3ADkAXQAgAEMAbABhAGkAbQA=" wne:acdName="acd0" wne:fciIndexBasedOn="0065"/>
    <wne:acd wne:argValue="AgBbAEkARAAwADAAMAA3ADkAXQAgAEYAaQBnAHUAcgBlAA==" wne:acdName="acd1" wne:fciIndexBasedOn="0065"/>
    <wne:acd wne:argValue="AgBbAEkARAAwADAAMAA3ADkAXQAgAFAAYQByAGEAZwByAGEAcABoAA==" wne:acdName="acd2" wne:fciIndexBasedOn="0065"/>
    <wne:acd wne:argValue="AgBbAEkARAAwADAAMAA3ADkAXQAgAFMAdQBiAHQAaQB0AGwAZQAgADEA" wne:acdName="acd3" wne:fciIndexBasedOn="0065"/>
    <wne:acd wne:argValue="AgBbAEkARAAwADAAMAA3ADkAXQAgAFQAYQBiAGwAZQA=" wne:acdName="acd4" wne:fciIndexBasedOn="0065"/>
    <wne:acd wne:argValue="AgBbAEkARAAwADAAMAA3ADkAXQAgAFQAaQB0AGwAZQAgADE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364" w14:textId="77777777" w:rsidR="00E24CCF" w:rsidRDefault="00E24CCF" w:rsidP="00814CEF">
      <w:r>
        <w:separator/>
      </w:r>
    </w:p>
  </w:endnote>
  <w:endnote w:type="continuationSeparator" w:id="0">
    <w:p w14:paraId="6B76EAD5" w14:textId="77777777" w:rsidR="00E24CCF" w:rsidRDefault="00E24CCF" w:rsidP="0081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299F" w14:textId="77777777" w:rsidR="00E24CCF" w:rsidRDefault="00E24CCF" w:rsidP="00814CEF">
      <w:r>
        <w:separator/>
      </w:r>
    </w:p>
  </w:footnote>
  <w:footnote w:type="continuationSeparator" w:id="0">
    <w:p w14:paraId="3D487454" w14:textId="77777777" w:rsidR="00E24CCF" w:rsidRDefault="00E24CCF" w:rsidP="0081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04BE" w14:textId="77777777" w:rsidR="00932B6D" w:rsidRDefault="00932B6D" w:rsidP="00EB54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34DC5552" w14:textId="77777777" w:rsidR="00932B6D" w:rsidRDefault="00932B6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430"/>
    <w:rsid w:val="00051330"/>
    <w:rsid w:val="00055C5A"/>
    <w:rsid w:val="000858E1"/>
    <w:rsid w:val="00111F1E"/>
    <w:rsid w:val="001462FA"/>
    <w:rsid w:val="001735F6"/>
    <w:rsid w:val="001D237D"/>
    <w:rsid w:val="001F5F43"/>
    <w:rsid w:val="00272275"/>
    <w:rsid w:val="002A7960"/>
    <w:rsid w:val="00335802"/>
    <w:rsid w:val="003C386F"/>
    <w:rsid w:val="003F6ABB"/>
    <w:rsid w:val="004047A8"/>
    <w:rsid w:val="00524557"/>
    <w:rsid w:val="00542DB1"/>
    <w:rsid w:val="00557EAC"/>
    <w:rsid w:val="005D5022"/>
    <w:rsid w:val="005D5729"/>
    <w:rsid w:val="005E0253"/>
    <w:rsid w:val="005E782C"/>
    <w:rsid w:val="00600930"/>
    <w:rsid w:val="00667A23"/>
    <w:rsid w:val="00697CBC"/>
    <w:rsid w:val="006A293B"/>
    <w:rsid w:val="007274F8"/>
    <w:rsid w:val="00745654"/>
    <w:rsid w:val="00756882"/>
    <w:rsid w:val="00814CEF"/>
    <w:rsid w:val="008A5490"/>
    <w:rsid w:val="008E1FED"/>
    <w:rsid w:val="00906922"/>
    <w:rsid w:val="00932B6D"/>
    <w:rsid w:val="009451B8"/>
    <w:rsid w:val="00974B3D"/>
    <w:rsid w:val="009D4C26"/>
    <w:rsid w:val="00A73238"/>
    <w:rsid w:val="00AB1543"/>
    <w:rsid w:val="00AB36C0"/>
    <w:rsid w:val="00B878D3"/>
    <w:rsid w:val="00BC78D0"/>
    <w:rsid w:val="00BF48E2"/>
    <w:rsid w:val="00C973E2"/>
    <w:rsid w:val="00D26D45"/>
    <w:rsid w:val="00D9167D"/>
    <w:rsid w:val="00E15B14"/>
    <w:rsid w:val="00E23C87"/>
    <w:rsid w:val="00E24CCF"/>
    <w:rsid w:val="00E526E2"/>
    <w:rsid w:val="00E602B7"/>
    <w:rsid w:val="00EA2DFD"/>
    <w:rsid w:val="00EB0074"/>
    <w:rsid w:val="00ED7A7B"/>
    <w:rsid w:val="00F02B77"/>
    <w:rsid w:val="00F2081B"/>
    <w:rsid w:val="00FD79AA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2DE87"/>
  <w15:docId w15:val="{C8B12176-C550-444C-88E2-370C48C3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  <w:rPr>
      <w:rFonts w:ascii="Arial" w:hAnsi="Arial"/>
      <w:color w:val="000000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0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0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0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0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0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04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04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04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04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04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04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04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043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043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04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04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04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04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0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04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0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04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0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04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04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04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0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043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043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link w:val="AntratsDiagrama"/>
    <w:uiPriority w:val="99"/>
    <w:qFormat/>
    <w:rsid w:val="00932B6D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kern w:val="0"/>
      <w:szCs w:val="24"/>
      <w:lang w:val="en-US" w:bidi="ar-SA"/>
      <w14:ligatures w14:val="none"/>
    </w:rPr>
  </w:style>
  <w:style w:type="character" w:customStyle="1" w:styleId="AntratsDiagrama">
    <w:name w:val="Antraštės Diagrama"/>
    <w:link w:val="Antrats"/>
    <w:uiPriority w:val="99"/>
    <w:rsid w:val="00932B6D"/>
    <w:rPr>
      <w:rFonts w:ascii="Arial" w:eastAsia="Times New Roman" w:hAnsi="Arial"/>
      <w:color w:val="000000"/>
      <w:kern w:val="0"/>
      <w:szCs w:val="24"/>
      <w:lang w:val="en-US" w:bidi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14CE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4CEF"/>
  </w:style>
  <w:style w:type="character" w:styleId="Eilutsnumeris">
    <w:name w:val="line number"/>
    <w:uiPriority w:val="99"/>
    <w:qFormat/>
    <w:rsid w:val="00932B6D"/>
    <w:rPr>
      <w:rFonts w:ascii="Times New Roman" w:hAnsi="Times New Roman" w:cstheme="minorBidi"/>
      <w:color w:val="000000"/>
      <w:sz w:val="20"/>
      <w:szCs w:val="20"/>
    </w:rPr>
  </w:style>
  <w:style w:type="paragraph" w:styleId="Pataisymai">
    <w:name w:val="Revision"/>
    <w:hidden/>
    <w:uiPriority w:val="99"/>
    <w:semiHidden/>
    <w:rsid w:val="00814CEF"/>
    <w:pPr>
      <w:spacing w:after="0" w:line="240" w:lineRule="auto"/>
    </w:pPr>
  </w:style>
  <w:style w:type="character" w:styleId="Puslapionumeris">
    <w:name w:val="page number"/>
    <w:uiPriority w:val="99"/>
    <w:qFormat/>
    <w:rsid w:val="00932B6D"/>
    <w:rPr>
      <w:rFonts w:ascii="Arial" w:hAnsi="Arial" w:cstheme="minorBidi"/>
      <w:color w:val="000000"/>
      <w:sz w:val="24"/>
      <w:szCs w:val="24"/>
    </w:rPr>
  </w:style>
  <w:style w:type="paragraph" w:customStyle="1" w:styleId="ID00079Claim">
    <w:name w:val="[ID00079] Claim"/>
    <w:qFormat/>
    <w:rsid w:val="00932B6D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kern w:val="0"/>
      <w:szCs w:val="24"/>
      <w:lang w:bidi="ar-SA"/>
      <w14:ligatures w14:val="none"/>
    </w:rPr>
  </w:style>
  <w:style w:type="paragraph" w:customStyle="1" w:styleId="ID00079Figure">
    <w:name w:val="[ID00079] Figure"/>
    <w:qFormat/>
    <w:rsid w:val="00932B6D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kern w:val="0"/>
      <w:szCs w:val="24"/>
      <w:lang w:bidi="ar-SA"/>
      <w14:ligatures w14:val="none"/>
    </w:rPr>
  </w:style>
  <w:style w:type="paragraph" w:customStyle="1" w:styleId="ID00079Paragraph">
    <w:name w:val="[ID00079] Paragraph"/>
    <w:qFormat/>
    <w:rsid w:val="00932B6D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kern w:val="0"/>
      <w:szCs w:val="24"/>
      <w:lang w:bidi="ar-SA"/>
      <w14:ligatures w14:val="none"/>
    </w:rPr>
  </w:style>
  <w:style w:type="paragraph" w:customStyle="1" w:styleId="ID00079Subtitle1">
    <w:name w:val="[ID00079] Subtitle 1"/>
    <w:qFormat/>
    <w:rsid w:val="00932B6D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kern w:val="0"/>
      <w:szCs w:val="24"/>
      <w:u w:val="single"/>
      <w:lang w:bidi="ar-SA"/>
      <w14:ligatures w14:val="none"/>
    </w:rPr>
  </w:style>
  <w:style w:type="paragraph" w:customStyle="1" w:styleId="ID00079Table">
    <w:name w:val="[ID00079] Table"/>
    <w:qFormat/>
    <w:rsid w:val="00932B6D"/>
    <w:pPr>
      <w:overflowPunct w:val="0"/>
      <w:spacing w:before="60" w:after="60" w:line="240" w:lineRule="auto"/>
    </w:pPr>
    <w:rPr>
      <w:rFonts w:ascii="Arial" w:eastAsia="Arial" w:hAnsi="Arial" w:cs="Arial"/>
      <w:color w:val="000000"/>
      <w:kern w:val="0"/>
      <w:szCs w:val="24"/>
      <w:lang w:bidi="ar-SA"/>
      <w14:ligatures w14:val="none"/>
    </w:rPr>
  </w:style>
  <w:style w:type="paragraph" w:customStyle="1" w:styleId="ID00079Title1">
    <w:name w:val="[ID00079] Title 1"/>
    <w:qFormat/>
    <w:rsid w:val="00932B6D"/>
    <w:pPr>
      <w:overflowPunct w:val="0"/>
      <w:spacing w:after="240" w:line="360" w:lineRule="auto"/>
    </w:pPr>
    <w:rPr>
      <w:rFonts w:ascii="Arial" w:eastAsia="Arial" w:hAnsi="Arial" w:cs="Arial"/>
      <w:caps/>
      <w:color w:val="000000"/>
      <w:kern w:val="0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804</Words>
  <Characters>5155</Characters>
  <Application>Microsoft Office Word</Application>
  <DocSecurity>0</DocSecurity>
  <Lines>99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Ebbs</dc:creator>
  <dc:description>SPECIFICATION COMPLETED !
25.12.01</dc:description>
  <cp:lastModifiedBy>Rasa Gurčytė</cp:lastModifiedBy>
  <cp:revision>5</cp:revision>
  <dcterms:created xsi:type="dcterms:W3CDTF">2026-02-12T15:25:00Z</dcterms:created>
  <dcterms:modified xsi:type="dcterms:W3CDTF">2026-02-20T07:46:00Z</dcterms:modified>
</cp:coreProperties>
</file>