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diary industry, namely, to cheese production.
The objective of the invention is to produce a cheese characterized in exelent nutritious and energetic properties, good taste and exterior.
This objective is pursued by proposing new cheese composition characterized in that it includes carotenes E 160a or E 160b. Due to the carotenes used there are orange-coloured spots in the pale yellow cheese mass. No purguent spices are used and the amount of salt is not high therefor the product is good for children meal.
Due to the well-balanced composition ingredients the cheese energetic value is 234-314 kcal (979-1325 kJ) per 100 g;  it contains: fat -13,8-24,3 g, proteins - 26-23 g, organic acids - 2 g per 100 g of cheese.
Due to well-balansed technological regime the cheese is ripened for 25 days whereas the usual period of ripening is 45 days.
The cheese is formed from the layer under whey and the cheese mass is continuous and non-porous.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