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Compuonds represented by the general formula (1):
(where R1 is SR6 or NR7R8, where R6 is typically an alkyl `group` having 1-6 carbon atoms, R7 is a hydrogen atom, an alkyl `group` having 1-6 carbon atoms or a nitro `group`, and R8 is a hydrogen atom or an alkyl `group` having 1-6 carbon atoms; R2 and R3 are each typically a hydrogen atom or an alkyl `group` having 1-6 carbon atoms; R4 is a hydrogen atom, an alkyl `group` having 1-6 carbon atoms or an amidino `group` of which the amine portion may be substituted by an alkyl or nitro `group`; R5 is a hydrogen atom or an alkyl `group` having 1-6 carbon atoms; Y1, Y2, Y3 and Y4 which may be the same or different are each typically a hydrogen atom, a halogen atom or an alkoxy `group` having 1-6 carbon atoms; n and m each are an integer of 0 or 1), or possible stereoisomers or optically active forms of the compounds or pharmaceutically acceptable salts thereof. The compounds possess a potent nitric oxide synthase inhibiting activity and are useful as therepeutics of cerebrovascular diseases.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