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81718" w14:textId="5AFA36A3" w:rsidR="00A6757F" w:rsidRPr="00126CB2" w:rsidRDefault="00A6757F" w:rsidP="00126CB2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126CB2">
        <w:rPr>
          <w:rFonts w:ascii="Helvetica" w:hAnsi="Helvetica" w:cs="Helvetica"/>
          <w:sz w:val="20"/>
        </w:rPr>
        <w:t>1.</w:t>
      </w:r>
      <w:r w:rsidR="00126CB2" w:rsidRPr="00126CB2">
        <w:rPr>
          <w:rFonts w:ascii="Helvetica" w:hAnsi="Helvetica" w:cs="Helvetica"/>
          <w:sz w:val="20"/>
        </w:rPr>
        <w:t xml:space="preserve"> </w:t>
      </w:r>
      <w:proofErr w:type="spellStart"/>
      <w:r w:rsidRPr="00126CB2">
        <w:rPr>
          <w:rFonts w:ascii="Helvetica" w:hAnsi="Helvetica" w:cs="Helvetica"/>
          <w:sz w:val="20"/>
        </w:rPr>
        <w:t>Pertuzumabas</w:t>
      </w:r>
      <w:proofErr w:type="spellEnd"/>
      <w:r w:rsidRPr="00126CB2">
        <w:rPr>
          <w:rFonts w:ascii="Helvetica" w:hAnsi="Helvetica" w:cs="Helvetica"/>
          <w:sz w:val="20"/>
        </w:rPr>
        <w:t xml:space="preserve">, skirtas naudoti derinyje su </w:t>
      </w:r>
      <w:proofErr w:type="spellStart"/>
      <w:r w:rsidRPr="00126CB2">
        <w:rPr>
          <w:rFonts w:ascii="Helvetica" w:hAnsi="Helvetica" w:cs="Helvetica"/>
          <w:sz w:val="20"/>
        </w:rPr>
        <w:t>trastuzumabu</w:t>
      </w:r>
      <w:proofErr w:type="spellEnd"/>
      <w:r w:rsidRPr="00126CB2">
        <w:rPr>
          <w:rFonts w:ascii="Helvetica" w:hAnsi="Helvetica" w:cs="Helvetica"/>
          <w:sz w:val="20"/>
        </w:rPr>
        <w:t xml:space="preserve"> ir </w:t>
      </w:r>
      <w:proofErr w:type="spellStart"/>
      <w:r w:rsidRPr="00126CB2">
        <w:rPr>
          <w:rFonts w:ascii="Helvetica" w:hAnsi="Helvetica" w:cs="Helvetica"/>
          <w:sz w:val="20"/>
        </w:rPr>
        <w:t>docetakseliu</w:t>
      </w:r>
      <w:proofErr w:type="spellEnd"/>
      <w:r w:rsidRPr="00126CB2">
        <w:rPr>
          <w:rFonts w:ascii="Helvetica" w:hAnsi="Helvetica" w:cs="Helvetica"/>
          <w:sz w:val="20"/>
        </w:rPr>
        <w:t xml:space="preserve"> naudojant gydymo būdą, skirtą pailginti išgyvenamumą be ligos progresavimo 6 mėnesiais arba ilgiau</w:t>
      </w:r>
      <w:r w:rsidRPr="00126CB2" w:rsidDel="00E76BBD">
        <w:rPr>
          <w:rFonts w:ascii="Helvetica" w:hAnsi="Helvetica" w:cs="Helvetica"/>
          <w:sz w:val="20"/>
        </w:rPr>
        <w:t xml:space="preserve"> </w:t>
      </w:r>
      <w:r w:rsidRPr="00126CB2">
        <w:rPr>
          <w:rFonts w:ascii="Helvetica" w:hAnsi="Helvetica" w:cs="Helvetica"/>
          <w:sz w:val="20"/>
        </w:rPr>
        <w:t>ir pailginti bendrą išgyvenamumą</w:t>
      </w:r>
      <w:r w:rsidRPr="00126CB2" w:rsidDel="00E76BBD">
        <w:rPr>
          <w:rFonts w:ascii="Helvetica" w:hAnsi="Helvetica" w:cs="Helvetica"/>
          <w:sz w:val="20"/>
        </w:rPr>
        <w:t xml:space="preserve"> </w:t>
      </w:r>
      <w:r w:rsidRPr="00126CB2">
        <w:rPr>
          <w:rFonts w:ascii="Helvetica" w:hAnsi="Helvetica" w:cs="Helvetica"/>
          <w:sz w:val="20"/>
        </w:rPr>
        <w:t xml:space="preserve">HER2 atžvilgiu teigiamu krūties vėžiu sergančių pacientų populiacijoje, palyginti su </w:t>
      </w:r>
      <w:proofErr w:type="spellStart"/>
      <w:r w:rsidRPr="00126CB2">
        <w:rPr>
          <w:rFonts w:ascii="Helvetica" w:hAnsi="Helvetica" w:cs="Helvetica"/>
          <w:sz w:val="20"/>
        </w:rPr>
        <w:t>trastuzumabo</w:t>
      </w:r>
      <w:proofErr w:type="spellEnd"/>
      <w:r w:rsidRPr="00126CB2">
        <w:rPr>
          <w:rFonts w:ascii="Helvetica" w:hAnsi="Helvetica" w:cs="Helvetica"/>
          <w:sz w:val="20"/>
        </w:rPr>
        <w:t xml:space="preserve"> ir </w:t>
      </w:r>
      <w:proofErr w:type="spellStart"/>
      <w:r w:rsidRPr="00126CB2">
        <w:rPr>
          <w:rFonts w:ascii="Helvetica" w:hAnsi="Helvetica" w:cs="Helvetica"/>
          <w:sz w:val="20"/>
        </w:rPr>
        <w:t>docetakselio</w:t>
      </w:r>
      <w:proofErr w:type="spellEnd"/>
      <w:r w:rsidRPr="00126CB2">
        <w:rPr>
          <w:rFonts w:ascii="Helvetica" w:hAnsi="Helvetica" w:cs="Helvetica"/>
          <w:sz w:val="20"/>
        </w:rPr>
        <w:t xml:space="preserve"> vartojimu be </w:t>
      </w:r>
      <w:proofErr w:type="spellStart"/>
      <w:r w:rsidRPr="00126CB2">
        <w:rPr>
          <w:rFonts w:ascii="Helvetica" w:hAnsi="Helvetica" w:cs="Helvetica"/>
          <w:sz w:val="20"/>
        </w:rPr>
        <w:t>pertuzumabo</w:t>
      </w:r>
      <w:proofErr w:type="spellEnd"/>
      <w:r w:rsidRPr="00126CB2">
        <w:rPr>
          <w:rFonts w:ascii="Helvetica" w:hAnsi="Helvetica" w:cs="Helvetica"/>
          <w:sz w:val="20"/>
        </w:rPr>
        <w:t xml:space="preserve">, kur gydymo būdas apima </w:t>
      </w:r>
      <w:proofErr w:type="spellStart"/>
      <w:r w:rsidRPr="00126CB2">
        <w:rPr>
          <w:rFonts w:ascii="Helvetica" w:hAnsi="Helvetica" w:cs="Helvetica"/>
          <w:sz w:val="20"/>
        </w:rPr>
        <w:t>pertuzumabo</w:t>
      </w:r>
      <w:proofErr w:type="spellEnd"/>
      <w:r w:rsidRPr="00126CB2">
        <w:rPr>
          <w:rFonts w:ascii="Helvetica" w:hAnsi="Helvetica" w:cs="Helvetica"/>
          <w:sz w:val="20"/>
        </w:rPr>
        <w:t xml:space="preserve">, </w:t>
      </w:r>
      <w:proofErr w:type="spellStart"/>
      <w:r w:rsidRPr="00126CB2">
        <w:rPr>
          <w:rFonts w:ascii="Helvetica" w:hAnsi="Helvetica" w:cs="Helvetica"/>
          <w:sz w:val="20"/>
        </w:rPr>
        <w:t>trastuzumabo</w:t>
      </w:r>
      <w:proofErr w:type="spellEnd"/>
      <w:r w:rsidRPr="00126CB2">
        <w:rPr>
          <w:rFonts w:ascii="Helvetica" w:hAnsi="Helvetica" w:cs="Helvetica"/>
          <w:sz w:val="20"/>
        </w:rPr>
        <w:t xml:space="preserve"> ir </w:t>
      </w:r>
      <w:proofErr w:type="spellStart"/>
      <w:r w:rsidRPr="00126CB2">
        <w:rPr>
          <w:rFonts w:ascii="Helvetica" w:hAnsi="Helvetica" w:cs="Helvetica"/>
          <w:sz w:val="20"/>
        </w:rPr>
        <w:t>docetakselio</w:t>
      </w:r>
      <w:proofErr w:type="spellEnd"/>
      <w:r w:rsidRPr="00126CB2">
        <w:rPr>
          <w:rFonts w:ascii="Helvetica" w:hAnsi="Helvetica" w:cs="Helvetica"/>
          <w:sz w:val="20"/>
        </w:rPr>
        <w:t xml:space="preserve"> skyrimą šios populiacijos pacientams,</w:t>
      </w:r>
    </w:p>
    <w:p w14:paraId="213AF1AD" w14:textId="77777777" w:rsidR="00A6757F" w:rsidRPr="00126CB2" w:rsidRDefault="00A6757F" w:rsidP="00126CB2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126CB2">
        <w:rPr>
          <w:rFonts w:ascii="Helvetica" w:hAnsi="Helvetica" w:cs="Helvetica"/>
          <w:sz w:val="20"/>
        </w:rPr>
        <w:t xml:space="preserve">kur HER2 atžvilgiu teigiamas krūties vėžys yra </w:t>
      </w:r>
      <w:proofErr w:type="spellStart"/>
      <w:r w:rsidRPr="00126CB2">
        <w:rPr>
          <w:rFonts w:ascii="Helvetica" w:hAnsi="Helvetica" w:cs="Helvetica"/>
          <w:sz w:val="20"/>
        </w:rPr>
        <w:t>metastazavęs</w:t>
      </w:r>
      <w:proofErr w:type="spellEnd"/>
      <w:r w:rsidRPr="00126CB2">
        <w:rPr>
          <w:rFonts w:ascii="Helvetica" w:hAnsi="Helvetica" w:cs="Helvetica"/>
          <w:sz w:val="20"/>
        </w:rPr>
        <w:t xml:space="preserve"> arba lokaliai pasikartojantis, </w:t>
      </w:r>
      <w:proofErr w:type="spellStart"/>
      <w:r w:rsidRPr="00126CB2">
        <w:rPr>
          <w:rFonts w:ascii="Helvetica" w:hAnsi="Helvetica" w:cs="Helvetica"/>
          <w:sz w:val="20"/>
        </w:rPr>
        <w:t>neoperabilus</w:t>
      </w:r>
      <w:proofErr w:type="spellEnd"/>
      <w:r w:rsidRPr="00126CB2">
        <w:rPr>
          <w:rFonts w:ascii="Helvetica" w:hAnsi="Helvetica" w:cs="Helvetica"/>
          <w:sz w:val="20"/>
        </w:rPr>
        <w:t xml:space="preserve"> krūties vėžys arba </w:t>
      </w:r>
      <w:r w:rsidRPr="00126CB2">
        <w:rPr>
          <w:rFonts w:ascii="Helvetica" w:hAnsi="Helvetica" w:cs="Helvetica"/>
          <w:i/>
          <w:sz w:val="20"/>
        </w:rPr>
        <w:t xml:space="preserve">de </w:t>
      </w:r>
      <w:proofErr w:type="spellStart"/>
      <w:r w:rsidRPr="00126CB2">
        <w:rPr>
          <w:rFonts w:ascii="Helvetica" w:hAnsi="Helvetica" w:cs="Helvetica"/>
          <w:i/>
          <w:sz w:val="20"/>
        </w:rPr>
        <w:t>novo</w:t>
      </w:r>
      <w:proofErr w:type="spellEnd"/>
      <w:r w:rsidRPr="00126CB2">
        <w:rPr>
          <w:rFonts w:ascii="Helvetica" w:hAnsi="Helvetica" w:cs="Helvetica"/>
          <w:sz w:val="20"/>
        </w:rPr>
        <w:t xml:space="preserve"> IV stadijos liga,</w:t>
      </w:r>
    </w:p>
    <w:p w14:paraId="6D563A5C" w14:textId="77777777" w:rsidR="00A6757F" w:rsidRPr="00126CB2" w:rsidRDefault="00A6757F" w:rsidP="00126CB2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126CB2">
        <w:rPr>
          <w:rFonts w:ascii="Helvetica" w:hAnsi="Helvetica" w:cs="Helvetica"/>
          <w:sz w:val="20"/>
        </w:rPr>
        <w:t xml:space="preserve">kur HER2 atžvilgiu teigiamą krūties vėžį apibrėžia 3+ balas pagal </w:t>
      </w:r>
      <w:proofErr w:type="spellStart"/>
      <w:r w:rsidRPr="00126CB2">
        <w:rPr>
          <w:rFonts w:ascii="Helvetica" w:hAnsi="Helvetica" w:cs="Helvetica"/>
          <w:sz w:val="20"/>
        </w:rPr>
        <w:t>imunohistocheminį</w:t>
      </w:r>
      <w:proofErr w:type="spellEnd"/>
      <w:r w:rsidRPr="00126CB2">
        <w:rPr>
          <w:rFonts w:ascii="Helvetica" w:hAnsi="Helvetica" w:cs="Helvetica"/>
          <w:sz w:val="20"/>
        </w:rPr>
        <w:t xml:space="preserve"> (IHC) metodą ir (arba) &gt;2,0 </w:t>
      </w:r>
      <w:proofErr w:type="spellStart"/>
      <w:r w:rsidRPr="00126CB2">
        <w:rPr>
          <w:rFonts w:ascii="Helvetica" w:hAnsi="Helvetica" w:cs="Helvetica"/>
          <w:sz w:val="20"/>
        </w:rPr>
        <w:t>amplifikacijos</w:t>
      </w:r>
      <w:proofErr w:type="spellEnd"/>
      <w:r w:rsidRPr="00126CB2">
        <w:rPr>
          <w:rFonts w:ascii="Helvetica" w:hAnsi="Helvetica" w:cs="Helvetica"/>
          <w:sz w:val="20"/>
        </w:rPr>
        <w:t xml:space="preserve"> rodiklis, atlikus fluorescencinį </w:t>
      </w:r>
      <w:proofErr w:type="spellStart"/>
      <w:r w:rsidRPr="00126CB2">
        <w:rPr>
          <w:rFonts w:ascii="Helvetica" w:hAnsi="Helvetica" w:cs="Helvetica"/>
          <w:i/>
          <w:sz w:val="20"/>
        </w:rPr>
        <w:t>in</w:t>
      </w:r>
      <w:proofErr w:type="spellEnd"/>
      <w:r w:rsidRPr="00126CB2">
        <w:rPr>
          <w:rFonts w:ascii="Helvetica" w:hAnsi="Helvetica" w:cs="Helvetica"/>
          <w:i/>
          <w:sz w:val="20"/>
        </w:rPr>
        <w:t xml:space="preserve"> </w:t>
      </w:r>
      <w:proofErr w:type="spellStart"/>
      <w:r w:rsidRPr="00126CB2">
        <w:rPr>
          <w:rFonts w:ascii="Helvetica" w:hAnsi="Helvetica" w:cs="Helvetica"/>
          <w:i/>
          <w:sz w:val="20"/>
        </w:rPr>
        <w:t>situ</w:t>
      </w:r>
      <w:proofErr w:type="spellEnd"/>
      <w:r w:rsidRPr="00126CB2">
        <w:rPr>
          <w:rFonts w:ascii="Helvetica" w:hAnsi="Helvetica" w:cs="Helvetica"/>
          <w:sz w:val="20"/>
        </w:rPr>
        <w:t xml:space="preserve"> hibridizacijos (FISH) tyrimą, ir</w:t>
      </w:r>
    </w:p>
    <w:p w14:paraId="13B6814B" w14:textId="2009C453" w:rsidR="00B64C6E" w:rsidRPr="00126CB2" w:rsidRDefault="00A6757F" w:rsidP="00126CB2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126CB2">
        <w:rPr>
          <w:rFonts w:ascii="Helvetica" w:hAnsi="Helvetica" w:cs="Helvetica"/>
          <w:sz w:val="20"/>
        </w:rPr>
        <w:t>kur:</w:t>
      </w:r>
    </w:p>
    <w:p w14:paraId="298D0AF2" w14:textId="7A77C21A" w:rsidR="00CB1516" w:rsidRPr="00126CB2" w:rsidRDefault="00CB1516" w:rsidP="00126CB2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126CB2">
        <w:rPr>
          <w:rFonts w:ascii="Helvetica" w:hAnsi="Helvetica" w:cs="Helvetica"/>
          <w:sz w:val="20"/>
        </w:rPr>
        <w:t xml:space="preserve">a. </w:t>
      </w:r>
      <w:proofErr w:type="spellStart"/>
      <w:r w:rsidR="00EA2E9D" w:rsidRPr="00126CB2">
        <w:rPr>
          <w:rFonts w:ascii="Helvetica" w:hAnsi="Helvetica" w:cs="Helvetica"/>
          <w:sz w:val="20"/>
        </w:rPr>
        <w:t>pertuzumabas</w:t>
      </w:r>
      <w:proofErr w:type="spellEnd"/>
      <w:r w:rsidR="00EA2E9D" w:rsidRPr="00126CB2">
        <w:rPr>
          <w:rFonts w:ascii="Helvetica" w:hAnsi="Helvetica" w:cs="Helvetica"/>
          <w:sz w:val="20"/>
        </w:rPr>
        <w:t xml:space="preserve"> leidžiamas į veną, suleidžiant 840 mg įsotinamąją dozę, o paskui kas 3 savaites leidžiant po 420 mg palaikomąją dozę, kol pasireiškia klinikinis ligos progresavimas arba toksiškumas, kurio negalima kontroliuoti;</w:t>
      </w:r>
    </w:p>
    <w:p w14:paraId="783B1126" w14:textId="0C11FA4C" w:rsidR="00CB1516" w:rsidRPr="00126CB2" w:rsidRDefault="00EA2E9D" w:rsidP="00126CB2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126CB2">
        <w:rPr>
          <w:rFonts w:ascii="Helvetica" w:hAnsi="Helvetica" w:cs="Helvetica"/>
          <w:sz w:val="20"/>
        </w:rPr>
        <w:t xml:space="preserve">b. </w:t>
      </w:r>
      <w:proofErr w:type="spellStart"/>
      <w:r w:rsidR="00D66AB4" w:rsidRPr="00126CB2">
        <w:rPr>
          <w:rFonts w:ascii="Helvetica" w:hAnsi="Helvetica" w:cs="Helvetica"/>
          <w:sz w:val="20"/>
        </w:rPr>
        <w:t>trastuzumabas</w:t>
      </w:r>
      <w:proofErr w:type="spellEnd"/>
      <w:r w:rsidR="00D66AB4" w:rsidRPr="00126CB2">
        <w:rPr>
          <w:rFonts w:ascii="Helvetica" w:hAnsi="Helvetica" w:cs="Helvetica"/>
          <w:sz w:val="20"/>
        </w:rPr>
        <w:t xml:space="preserve"> leidžiamas į veną, suleidžiant 8 mg/kg įsotinamąją dozę, o paskui kas 3 savaites leidžiant po 6 mg/kg palaikomąją dozę, kol pasireiškia klinikinis ligos progresavimas arba toksiškumas, kurio negalima kontroliuoti; ir</w:t>
      </w:r>
    </w:p>
    <w:p w14:paraId="6922969C" w14:textId="393F0CCE" w:rsidR="00CB1516" w:rsidRPr="00126CB2" w:rsidRDefault="00D66AB4" w:rsidP="00126CB2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126CB2">
        <w:rPr>
          <w:rFonts w:ascii="Helvetica" w:hAnsi="Helvetica" w:cs="Helvetica"/>
          <w:sz w:val="20"/>
        </w:rPr>
        <w:t xml:space="preserve">c. </w:t>
      </w:r>
      <w:proofErr w:type="spellStart"/>
      <w:r w:rsidR="005673DC" w:rsidRPr="00126CB2">
        <w:rPr>
          <w:rFonts w:ascii="Helvetica" w:hAnsi="Helvetica" w:cs="Helvetica"/>
          <w:sz w:val="20"/>
        </w:rPr>
        <w:t>docetakselis</w:t>
      </w:r>
      <w:proofErr w:type="spellEnd"/>
      <w:r w:rsidR="005673DC" w:rsidRPr="00126CB2">
        <w:rPr>
          <w:rFonts w:ascii="Helvetica" w:hAnsi="Helvetica" w:cs="Helvetica"/>
          <w:sz w:val="20"/>
        </w:rPr>
        <w:t xml:space="preserve"> leidžiamas į veną kas 3 savaites bent 6 ciklus, leidžiant po pradinę 75 mg/m</w:t>
      </w:r>
      <w:r w:rsidR="005673DC" w:rsidRPr="00126CB2">
        <w:rPr>
          <w:rFonts w:ascii="Helvetica" w:hAnsi="Helvetica" w:cs="Helvetica"/>
          <w:sz w:val="20"/>
          <w:vertAlign w:val="superscript"/>
        </w:rPr>
        <w:t>2</w:t>
      </w:r>
      <w:r w:rsidR="005673DC" w:rsidRPr="00126CB2">
        <w:rPr>
          <w:rFonts w:ascii="Helvetica" w:hAnsi="Helvetica" w:cs="Helvetica"/>
          <w:sz w:val="20"/>
        </w:rPr>
        <w:t xml:space="preserve"> dozę, kuri gali būti didinama iki 100 mg/m</w:t>
      </w:r>
      <w:r w:rsidR="005673DC" w:rsidRPr="00126CB2">
        <w:rPr>
          <w:rFonts w:ascii="Helvetica" w:hAnsi="Helvetica" w:cs="Helvetica"/>
          <w:sz w:val="20"/>
          <w:vertAlign w:val="superscript"/>
        </w:rPr>
        <w:t>2</w:t>
      </w:r>
      <w:r w:rsidR="005673DC" w:rsidRPr="00126CB2">
        <w:rPr>
          <w:rFonts w:ascii="Helvetica" w:hAnsi="Helvetica" w:cs="Helvetica"/>
          <w:sz w:val="20"/>
        </w:rPr>
        <w:t>, jei pradinė dozė toleruojama.</w:t>
      </w:r>
    </w:p>
    <w:p w14:paraId="57A2E190" w14:textId="77777777" w:rsidR="00CB1516" w:rsidRPr="00126CB2" w:rsidRDefault="00CB1516" w:rsidP="00126CB2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00868D3E" w14:textId="5FB30F8B" w:rsidR="00CB1516" w:rsidRPr="00126CB2" w:rsidRDefault="00902973" w:rsidP="00126CB2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126CB2">
        <w:rPr>
          <w:rFonts w:ascii="Helvetica" w:hAnsi="Helvetica" w:cs="Helvetica"/>
          <w:sz w:val="20"/>
        </w:rPr>
        <w:t xml:space="preserve">2. </w:t>
      </w:r>
      <w:proofErr w:type="spellStart"/>
      <w:r w:rsidRPr="00126CB2">
        <w:rPr>
          <w:rFonts w:ascii="Helvetica" w:hAnsi="Helvetica" w:cs="Helvetica"/>
          <w:sz w:val="20"/>
        </w:rPr>
        <w:t>Pertuzumabas</w:t>
      </w:r>
      <w:proofErr w:type="spellEnd"/>
      <w:r w:rsidRPr="00126CB2">
        <w:rPr>
          <w:rFonts w:ascii="Helvetica" w:hAnsi="Helvetica" w:cs="Helvetica"/>
          <w:sz w:val="20"/>
        </w:rPr>
        <w:t xml:space="preserve">, skirtas naudoti pagal 1 punktą, kur suleidžiama 17 arba daugiau palaikomųjų </w:t>
      </w:r>
      <w:proofErr w:type="spellStart"/>
      <w:r w:rsidRPr="00126CB2">
        <w:rPr>
          <w:rFonts w:ascii="Helvetica" w:hAnsi="Helvetica" w:cs="Helvetica"/>
          <w:sz w:val="20"/>
        </w:rPr>
        <w:t>pertuzumabo</w:t>
      </w:r>
      <w:proofErr w:type="spellEnd"/>
      <w:r w:rsidRPr="00126CB2">
        <w:rPr>
          <w:rFonts w:ascii="Helvetica" w:hAnsi="Helvetica" w:cs="Helvetica"/>
          <w:sz w:val="20"/>
        </w:rPr>
        <w:t xml:space="preserve"> ir </w:t>
      </w:r>
      <w:proofErr w:type="spellStart"/>
      <w:r w:rsidRPr="00126CB2">
        <w:rPr>
          <w:rFonts w:ascii="Helvetica" w:hAnsi="Helvetica" w:cs="Helvetica"/>
          <w:sz w:val="20"/>
        </w:rPr>
        <w:t>trastuzumabo</w:t>
      </w:r>
      <w:proofErr w:type="spellEnd"/>
      <w:r w:rsidRPr="00126CB2">
        <w:rPr>
          <w:rFonts w:ascii="Helvetica" w:hAnsi="Helvetica" w:cs="Helvetica"/>
          <w:sz w:val="20"/>
        </w:rPr>
        <w:t xml:space="preserve"> dozių.</w:t>
      </w:r>
    </w:p>
    <w:p w14:paraId="26633D41" w14:textId="77777777" w:rsidR="00902973" w:rsidRPr="00126CB2" w:rsidRDefault="00902973" w:rsidP="00126CB2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37A57455" w14:textId="138C717B" w:rsidR="00902973" w:rsidRPr="00126CB2" w:rsidRDefault="00CB191E" w:rsidP="00126CB2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126CB2">
        <w:rPr>
          <w:rFonts w:ascii="Helvetica" w:hAnsi="Helvetica" w:cs="Helvetica"/>
          <w:sz w:val="20"/>
        </w:rPr>
        <w:t xml:space="preserve">3. </w:t>
      </w:r>
      <w:proofErr w:type="spellStart"/>
      <w:r w:rsidRPr="00126CB2">
        <w:rPr>
          <w:rFonts w:ascii="Helvetica" w:hAnsi="Helvetica" w:cs="Helvetica"/>
          <w:sz w:val="20"/>
        </w:rPr>
        <w:t>Pertuzumabas</w:t>
      </w:r>
      <w:proofErr w:type="spellEnd"/>
      <w:r w:rsidRPr="00126CB2">
        <w:rPr>
          <w:rFonts w:ascii="Helvetica" w:hAnsi="Helvetica" w:cs="Helvetica"/>
          <w:sz w:val="20"/>
        </w:rPr>
        <w:t xml:space="preserve">, skirtas naudoti pagal bet kurį iš ankstesnių punktų, kur populiacijos pacientų </w:t>
      </w:r>
      <w:proofErr w:type="spellStart"/>
      <w:r w:rsidRPr="00126CB2">
        <w:rPr>
          <w:rFonts w:ascii="Helvetica" w:hAnsi="Helvetica" w:cs="Helvetica"/>
          <w:sz w:val="20"/>
        </w:rPr>
        <w:t>metastazavusi</w:t>
      </w:r>
      <w:proofErr w:type="spellEnd"/>
      <w:r w:rsidRPr="00126CB2">
        <w:rPr>
          <w:rFonts w:ascii="Helvetica" w:hAnsi="Helvetica" w:cs="Helvetica"/>
          <w:sz w:val="20"/>
        </w:rPr>
        <w:t xml:space="preserve"> liga anksčiau nebuvo gydyta taikant prieš HER2 nukreiptą gydymą ar chemoterapiją.</w:t>
      </w:r>
    </w:p>
    <w:p w14:paraId="41D57966" w14:textId="77777777" w:rsidR="00CB191E" w:rsidRPr="00126CB2" w:rsidRDefault="00CB191E" w:rsidP="00126CB2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266AE479" w14:textId="1A7DD90D" w:rsidR="00CB1516" w:rsidRPr="00126CB2" w:rsidRDefault="00CA79DA" w:rsidP="00B40F68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126CB2">
        <w:rPr>
          <w:rFonts w:ascii="Helvetica" w:hAnsi="Helvetica" w:cs="Helvetica"/>
          <w:sz w:val="20"/>
        </w:rPr>
        <w:t xml:space="preserve">4. </w:t>
      </w:r>
      <w:proofErr w:type="spellStart"/>
      <w:r w:rsidRPr="00126CB2">
        <w:rPr>
          <w:rFonts w:ascii="Helvetica" w:hAnsi="Helvetica" w:cs="Helvetica"/>
          <w:sz w:val="20"/>
        </w:rPr>
        <w:t>Pertuzumabas</w:t>
      </w:r>
      <w:proofErr w:type="spellEnd"/>
      <w:r w:rsidRPr="00126CB2">
        <w:rPr>
          <w:rFonts w:ascii="Helvetica" w:hAnsi="Helvetica" w:cs="Helvetica"/>
          <w:sz w:val="20"/>
        </w:rPr>
        <w:t>, skirtas naudoti pagal bet kurį iš ankstesnių punktų, kur populiacijos pacientai yra įvertinti 0 arba 1 balu pagal Rytų jungtinės onkologijos grupės funkcinės būklės vertinimo (ECOG PS) skalę.</w:t>
      </w:r>
    </w:p>
    <w:sectPr w:rsidR="00CB1516" w:rsidRPr="00126CB2" w:rsidSect="00126CB2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1FB17" w14:textId="77777777" w:rsidR="009171E5" w:rsidRDefault="009171E5" w:rsidP="00E62E8A">
      <w:pPr>
        <w:spacing w:after="0" w:line="240" w:lineRule="auto"/>
      </w:pPr>
      <w:r>
        <w:separator/>
      </w:r>
    </w:p>
  </w:endnote>
  <w:endnote w:type="continuationSeparator" w:id="0">
    <w:p w14:paraId="5F0CF6A2" w14:textId="77777777" w:rsidR="009171E5" w:rsidRDefault="009171E5" w:rsidP="00E6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3C020" w14:textId="77777777" w:rsidR="009171E5" w:rsidRDefault="009171E5" w:rsidP="00E62E8A">
      <w:pPr>
        <w:spacing w:after="0" w:line="240" w:lineRule="auto"/>
      </w:pPr>
      <w:r>
        <w:separator/>
      </w:r>
    </w:p>
  </w:footnote>
  <w:footnote w:type="continuationSeparator" w:id="0">
    <w:p w14:paraId="4003D025" w14:textId="77777777" w:rsidR="009171E5" w:rsidRDefault="009171E5" w:rsidP="00E62E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0E6D17"/>
    <w:multiLevelType w:val="multilevel"/>
    <w:tmpl w:val="BF907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328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7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F0"/>
    <w:rsid w:val="0000726D"/>
    <w:rsid w:val="000657CC"/>
    <w:rsid w:val="00091494"/>
    <w:rsid w:val="000B1DE7"/>
    <w:rsid w:val="00100598"/>
    <w:rsid w:val="00126CB2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3698"/>
    <w:rsid w:val="00504F54"/>
    <w:rsid w:val="00511771"/>
    <w:rsid w:val="00536D9A"/>
    <w:rsid w:val="00550306"/>
    <w:rsid w:val="0056063D"/>
    <w:rsid w:val="005673DC"/>
    <w:rsid w:val="005A2745"/>
    <w:rsid w:val="005E010A"/>
    <w:rsid w:val="00610A52"/>
    <w:rsid w:val="00620AE2"/>
    <w:rsid w:val="00643847"/>
    <w:rsid w:val="006506F0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2973"/>
    <w:rsid w:val="00904B41"/>
    <w:rsid w:val="009171E5"/>
    <w:rsid w:val="00947F90"/>
    <w:rsid w:val="009834FF"/>
    <w:rsid w:val="009E7C9A"/>
    <w:rsid w:val="00A007EB"/>
    <w:rsid w:val="00A41E70"/>
    <w:rsid w:val="00A6757F"/>
    <w:rsid w:val="00A7405D"/>
    <w:rsid w:val="00AC620D"/>
    <w:rsid w:val="00AD0146"/>
    <w:rsid w:val="00AD5E9E"/>
    <w:rsid w:val="00B40F68"/>
    <w:rsid w:val="00B517F1"/>
    <w:rsid w:val="00B536BD"/>
    <w:rsid w:val="00B63A7F"/>
    <w:rsid w:val="00B64C6E"/>
    <w:rsid w:val="00BC407F"/>
    <w:rsid w:val="00C211B4"/>
    <w:rsid w:val="00CA79DA"/>
    <w:rsid w:val="00CB1516"/>
    <w:rsid w:val="00CB191E"/>
    <w:rsid w:val="00CE2C39"/>
    <w:rsid w:val="00D47BE4"/>
    <w:rsid w:val="00D61739"/>
    <w:rsid w:val="00D66AB4"/>
    <w:rsid w:val="00DC6934"/>
    <w:rsid w:val="00DE0809"/>
    <w:rsid w:val="00E62E8A"/>
    <w:rsid w:val="00EA2E9D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A15E16"/>
  <w15:chartTrackingRefBased/>
  <w15:docId w15:val="{FA6BA283-FFE3-4B2D-B72A-DA0CB709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64C6E"/>
    <w:pPr>
      <w:spacing w:line="278" w:lineRule="auto"/>
    </w:pPr>
    <w:rPr>
      <w:rFonts w:eastAsiaTheme="minorEastAsia"/>
      <w:kern w:val="2"/>
      <w:sz w:val="24"/>
      <w:szCs w:val="24"/>
      <w:lang w:eastAsia="zh-C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506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50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506F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506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506F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506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506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506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506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506F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506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506F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506F0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506F0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506F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506F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506F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506F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506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50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506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506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50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506F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506F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506F0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506F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506F0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506F0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E62E8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2E8A"/>
    <w:rPr>
      <w:rFonts w:eastAsiaTheme="minorEastAsia"/>
      <w:kern w:val="2"/>
      <w:sz w:val="24"/>
      <w:szCs w:val="24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E62E8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2E8A"/>
    <w:rPr>
      <w:rFonts w:eastAsiaTheme="minorEastAsia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1704</Characters>
  <Application>Microsoft Office Word</Application>
  <DocSecurity>0</DocSecurity>
  <Lines>29</Lines>
  <Paragraphs>13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13</cp:revision>
  <dcterms:created xsi:type="dcterms:W3CDTF">2025-10-07T05:49:00Z</dcterms:created>
  <dcterms:modified xsi:type="dcterms:W3CDTF">2025-10-07T05:53:00Z</dcterms:modified>
</cp:coreProperties>
</file>