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8B84D" w14:textId="64BF2DBC" w:rsidR="006D1E6A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b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1.</w:t>
      </w:r>
      <w:r w:rsidRPr="00FD64FA">
        <w:rPr>
          <w:rFonts w:ascii="Helvetica" w:hAnsi="Helvetica" w:cs="Helvetica"/>
          <w:b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būde gydyti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citomegaloviruso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(CMV) infekciją ja sergančiam pacientui, apimančiame:</w:t>
      </w:r>
    </w:p>
    <w:p w14:paraId="5AE3BBAB" w14:textId="64E6F66E" w:rsidR="00AC1B93" w:rsidRPr="00FD64FA" w:rsidRDefault="00AC1B93" w:rsidP="00FD64FA">
      <w:pPr>
        <w:spacing w:after="0" w:line="360" w:lineRule="auto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color w:val="000000" w:themeColor="text1"/>
          <w:sz w:val="20"/>
        </w:rPr>
        <w:t xml:space="preserve">800 arba 1200 mg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skyrimą pacientui per burną du kartus per parą, kur pacientas vartoja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karbamazepiną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fenitoiną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fenobarbitalį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prieš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skyrimą vartojo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karbamazepiną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fenitoiną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fenobarbitalį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>;</w:t>
      </w:r>
    </w:p>
    <w:p w14:paraId="6DA38282" w14:textId="77777777" w:rsidR="00AC1B93" w:rsidRPr="00FD64FA" w:rsidRDefault="00AC1B93" w:rsidP="00FD64FA">
      <w:pPr>
        <w:spacing w:after="0" w:line="360" w:lineRule="auto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color w:val="000000" w:themeColor="text1"/>
          <w:sz w:val="20"/>
        </w:rPr>
        <w:t xml:space="preserve">kur pacientas yra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transplantato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recipientas; ir</w:t>
      </w:r>
    </w:p>
    <w:p w14:paraId="756532F6" w14:textId="77777777" w:rsidR="006D1E6A" w:rsidRPr="00FD64FA" w:rsidRDefault="00AC1B93" w:rsidP="00FD64FA">
      <w:pPr>
        <w:spacing w:after="0" w:line="360" w:lineRule="auto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color w:val="000000" w:themeColor="text1"/>
          <w:sz w:val="20"/>
        </w:rPr>
        <w:t xml:space="preserve">kur pacientas vartoja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fenitoiną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fenobarbitalį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prieš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skyrimą vartojo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fenitoiną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fenobarbitalį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skiriamas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kiekis yra 1200 mg per burną du kartus per parą.</w:t>
      </w:r>
    </w:p>
    <w:p w14:paraId="66A2B1E6" w14:textId="77777777" w:rsidR="00FD64FA" w:rsidRPr="00FD64FA" w:rsidRDefault="00FD64FA" w:rsidP="00FD64FA">
      <w:pPr>
        <w:spacing w:after="0" w:line="360" w:lineRule="auto"/>
        <w:jc w:val="both"/>
        <w:rPr>
          <w:rFonts w:ascii="Helvetica" w:hAnsi="Helvetica" w:cs="Helvetica"/>
          <w:color w:val="000000" w:themeColor="text1"/>
          <w:sz w:val="20"/>
        </w:rPr>
      </w:pPr>
    </w:p>
    <w:p w14:paraId="505BE345" w14:textId="043D79B0" w:rsidR="006D1E6A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2.</w:t>
      </w:r>
      <w:r w:rsidR="00FD64FA" w:rsidRPr="00FD64FA">
        <w:rPr>
          <w:rFonts w:ascii="Helvetica" w:hAnsi="Helvetica" w:cs="Helvetica"/>
          <w:b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1 punktą, kur pacientas vartoja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karbamazepiną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prieš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skyrimą vartojo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karbamazepiną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ir skiriamas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kiekis yra 800 mg per burną du kartus per parą.</w:t>
      </w:r>
    </w:p>
    <w:p w14:paraId="45BEB7B4" w14:textId="77777777" w:rsidR="00FD64FA" w:rsidRPr="00FD64FA" w:rsidRDefault="00FD64FA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31190E34" w14:textId="4AA5A012" w:rsidR="006D1E6A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3.</w:t>
      </w:r>
      <w:r w:rsidR="00FD64FA" w:rsidRPr="00FD64FA">
        <w:rPr>
          <w:rFonts w:ascii="Helvetica" w:hAnsi="Helvetica" w:cs="Helvetica"/>
          <w:b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1 punktą, kur pacientas vartoja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fenitoiną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fenobarbitalį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prieš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skyrimą vartojo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fenitoiną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fenobarbitalį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ir skiriamas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kiekis yra 1200 mg per burną du kartus per parą.</w:t>
      </w:r>
    </w:p>
    <w:p w14:paraId="7BDD31E9" w14:textId="77777777" w:rsidR="00FD64FA" w:rsidRPr="00FD64FA" w:rsidRDefault="00FD64FA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7CA41066" w14:textId="11C1B39B" w:rsidR="006D1E6A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4.</w:t>
      </w:r>
      <w:r w:rsidR="00FD64FA" w:rsidRPr="00FD64FA">
        <w:rPr>
          <w:rFonts w:ascii="Helvetica" w:hAnsi="Helvetica" w:cs="Helvetica"/>
          <w:b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1 punktą, apimantis 1200 mg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skyrimą pacientui per burną du kartus per parą.</w:t>
      </w:r>
    </w:p>
    <w:p w14:paraId="3557CF83" w14:textId="77777777" w:rsidR="00FD64FA" w:rsidRPr="00FD64FA" w:rsidRDefault="00FD64FA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150FFC80" w14:textId="59BCCBDB" w:rsidR="006D1E6A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5.</w:t>
      </w:r>
      <w:r w:rsidR="00FD64FA" w:rsidRPr="00FD64FA">
        <w:rPr>
          <w:rFonts w:ascii="Helvetica" w:hAnsi="Helvetica" w:cs="Helvetica"/>
          <w:b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bet kurį iš 1–4 punktų, kur pacientas vartoja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karbamazepiną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fenitoiną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fenobarbitalį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ir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bei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karbamazepinas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fenitoinas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fenobarbitalis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yra skiriami vartoti kartu.</w:t>
      </w:r>
    </w:p>
    <w:p w14:paraId="6BCBA7D7" w14:textId="77777777" w:rsidR="00FD64FA" w:rsidRPr="00FD64FA" w:rsidRDefault="00FD64FA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0DCE2A16" w14:textId="0543881A" w:rsidR="006D1E6A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6.</w:t>
      </w:r>
      <w:r w:rsidR="00FD64FA" w:rsidRPr="00FD64FA">
        <w:rPr>
          <w:rFonts w:ascii="Helvetica" w:hAnsi="Helvetica" w:cs="Helvetica"/>
          <w:b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bet kurį iš 1–5 punktų, kur pacientas vartoja arba vartojo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imunosupresantą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>.</w:t>
      </w:r>
    </w:p>
    <w:p w14:paraId="4768DB0C" w14:textId="77777777" w:rsidR="00FD64FA" w:rsidRPr="00FD64FA" w:rsidRDefault="00FD64FA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34CB662F" w14:textId="5C905EEB" w:rsidR="006D1E6A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7.</w:t>
      </w:r>
      <w:r w:rsidR="00FD64FA" w:rsidRPr="00FD64FA">
        <w:rPr>
          <w:rFonts w:ascii="Helvetica" w:hAnsi="Helvetica" w:cs="Helvetica"/>
          <w:b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6 punktą, kur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imunosupresantas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yra parinktas iš grupės, susidedančios iš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takrolimuzo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ciklosporino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everolimuzo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ir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sirolimuzo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>.</w:t>
      </w:r>
    </w:p>
    <w:p w14:paraId="7F0A54CC" w14:textId="77777777" w:rsidR="00FD64FA" w:rsidRPr="00FD64FA" w:rsidRDefault="00FD64FA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1881A1DC" w14:textId="77777777" w:rsidR="00B86BB6" w:rsidRDefault="00AC1B93" w:rsidP="00B86BB6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8.</w:t>
      </w:r>
      <w:r w:rsidR="00FD64FA" w:rsidRPr="00FD64FA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7 punktą, kur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imunosupresantas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yra takrolimuzas.</w:t>
      </w:r>
    </w:p>
    <w:p w14:paraId="55FB3D39" w14:textId="77777777" w:rsidR="00B86BB6" w:rsidRDefault="00B86BB6" w:rsidP="00B86BB6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5B0F7BDD" w14:textId="402B3E21" w:rsidR="006D1E6A" w:rsidRPr="00FD64FA" w:rsidRDefault="00AC1B93" w:rsidP="00B86BB6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9.</w:t>
      </w:r>
      <w:r w:rsidR="00FD64FA" w:rsidRPr="00FD64FA">
        <w:rPr>
          <w:rFonts w:ascii="Helvetica" w:hAnsi="Helvetica" w:cs="Helvetica"/>
          <w:bCs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bet kurį iš 6–8 punktų, kur pacientas vartoja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imunosupresantą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ir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bei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imunosupresantas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yra skiriami vartoti kartu.</w:t>
      </w:r>
    </w:p>
    <w:p w14:paraId="795A739B" w14:textId="77777777" w:rsidR="00FD64FA" w:rsidRPr="00FD64FA" w:rsidRDefault="00FD64FA" w:rsidP="00FD64FA">
      <w:pPr>
        <w:spacing w:after="0" w:line="360" w:lineRule="auto"/>
        <w:jc w:val="both"/>
        <w:rPr>
          <w:rFonts w:ascii="Helvetica" w:hAnsi="Helvetica" w:cs="Helvetica"/>
          <w:color w:val="000000" w:themeColor="text1"/>
          <w:sz w:val="20"/>
        </w:rPr>
      </w:pPr>
    </w:p>
    <w:p w14:paraId="03905A01" w14:textId="488132A9" w:rsidR="006D1E6A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10.</w:t>
      </w:r>
      <w:r w:rsidR="00FD64FA" w:rsidRPr="00FD64FA">
        <w:rPr>
          <w:rFonts w:ascii="Helvetica" w:hAnsi="Helvetica" w:cs="Helvetica"/>
          <w:b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bet kurį iš 1–9 punktų, kur pacientas yra atsparus gydymui vienu ar daugiau iš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gancikloviro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valgancikloviro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cidofoviro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arba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foskarneto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>.</w:t>
      </w:r>
    </w:p>
    <w:p w14:paraId="30589860" w14:textId="77777777" w:rsidR="00FD64FA" w:rsidRPr="00FD64FA" w:rsidRDefault="00FD64FA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5924A7D0" w14:textId="2FBCDC81" w:rsidR="006D1E6A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11.</w:t>
      </w:r>
      <w:r w:rsidR="00FD64FA" w:rsidRPr="00FD64FA">
        <w:rPr>
          <w:rFonts w:ascii="Helvetica" w:hAnsi="Helvetica" w:cs="Helvetica"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bet kurį iš 1–10 punktų, kur pacientas yra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kraujodaros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kamieninių ląstelių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transplantato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recipientas.</w:t>
      </w:r>
    </w:p>
    <w:p w14:paraId="421EA049" w14:textId="77777777" w:rsidR="00FD64FA" w:rsidRPr="00FD64FA" w:rsidRDefault="00FD64FA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2D56BE23" w14:textId="40E56D8E" w:rsidR="006D1E6A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t>12.</w:t>
      </w:r>
      <w:r w:rsidR="00FD64FA" w:rsidRPr="00FD64FA">
        <w:rPr>
          <w:rFonts w:ascii="Helvetica" w:hAnsi="Helvetica" w:cs="Helvetica"/>
          <w:b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, skirtas naudoti pagal bet kurį iš 1–10 punktų, kur pacientas yra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solidinio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organo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transplantato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 xml:space="preserve"> recipientas.</w:t>
      </w:r>
    </w:p>
    <w:p w14:paraId="61007BEE" w14:textId="77777777" w:rsidR="00FD64FA" w:rsidRPr="00FD64FA" w:rsidRDefault="00FD64FA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</w:p>
    <w:p w14:paraId="60BC6195" w14:textId="20547049" w:rsidR="0050429D" w:rsidRPr="00FD64FA" w:rsidRDefault="00AC1B93" w:rsidP="00FD64FA">
      <w:pPr>
        <w:spacing w:after="0" w:line="360" w:lineRule="auto"/>
        <w:ind w:firstLine="567"/>
        <w:jc w:val="both"/>
        <w:rPr>
          <w:rFonts w:ascii="Helvetica" w:hAnsi="Helvetica" w:cs="Helvetica"/>
          <w:color w:val="000000" w:themeColor="text1"/>
          <w:sz w:val="20"/>
        </w:rPr>
      </w:pPr>
      <w:r w:rsidRPr="00FD64FA">
        <w:rPr>
          <w:rFonts w:ascii="Helvetica" w:hAnsi="Helvetica" w:cs="Helvetica"/>
          <w:bCs/>
          <w:color w:val="000000" w:themeColor="text1"/>
          <w:sz w:val="20"/>
        </w:rPr>
        <w:lastRenderedPageBreak/>
        <w:t>13.</w:t>
      </w:r>
      <w:r w:rsidR="00FD64FA" w:rsidRPr="00FD64FA">
        <w:rPr>
          <w:rFonts w:ascii="Helvetica" w:hAnsi="Helvetica" w:cs="Helvetica"/>
          <w:b/>
          <w:color w:val="000000" w:themeColor="text1"/>
          <w:sz w:val="20"/>
        </w:rPr>
        <w:t xml:space="preserve"> </w:t>
      </w:r>
      <w:proofErr w:type="spellStart"/>
      <w:r w:rsidRPr="00FD64FA">
        <w:rPr>
          <w:rFonts w:ascii="Helvetica" w:hAnsi="Helvetica" w:cs="Helvetica"/>
          <w:color w:val="000000" w:themeColor="text1"/>
          <w:sz w:val="20"/>
        </w:rPr>
        <w:t>Maribaviras</w:t>
      </w:r>
      <w:proofErr w:type="spellEnd"/>
      <w:r w:rsidRPr="00FD64FA">
        <w:rPr>
          <w:rFonts w:ascii="Helvetica" w:hAnsi="Helvetica" w:cs="Helvetica"/>
          <w:color w:val="000000" w:themeColor="text1"/>
          <w:sz w:val="20"/>
        </w:rPr>
        <w:t>, skirtas naudoti pagal bet kurį iš 1–12 punktų, kur pacientas yra suaugęs asmuo arba vaikas, vyresnis nei 12 metų ir sveriantis daugiau nei 35 kg.</w:t>
      </w:r>
    </w:p>
    <w:sectPr w:rsidR="0050429D" w:rsidRPr="00FD64FA" w:rsidSect="00FD64FA">
      <w:pgSz w:w="11907" w:h="16840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79870" w14:textId="77777777" w:rsidR="00617D73" w:rsidRDefault="00617D73" w:rsidP="005C19AB">
      <w:pPr>
        <w:spacing w:after="0" w:line="240" w:lineRule="auto"/>
      </w:pPr>
      <w:r>
        <w:separator/>
      </w:r>
    </w:p>
  </w:endnote>
  <w:endnote w:type="continuationSeparator" w:id="0">
    <w:p w14:paraId="4568E17D" w14:textId="77777777" w:rsidR="00617D73" w:rsidRDefault="00617D73" w:rsidP="005C1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A141" w14:textId="77777777" w:rsidR="00617D73" w:rsidRDefault="00617D73" w:rsidP="005C19AB">
      <w:pPr>
        <w:spacing w:after="0" w:line="240" w:lineRule="auto"/>
      </w:pPr>
      <w:r>
        <w:separator/>
      </w:r>
    </w:p>
  </w:footnote>
  <w:footnote w:type="continuationSeparator" w:id="0">
    <w:p w14:paraId="33EF3292" w14:textId="77777777" w:rsidR="00617D73" w:rsidRDefault="00617D73" w:rsidP="005C19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93"/>
    <w:rsid w:val="000A3F5B"/>
    <w:rsid w:val="000A4ED3"/>
    <w:rsid w:val="001F03F3"/>
    <w:rsid w:val="002071F9"/>
    <w:rsid w:val="002D3646"/>
    <w:rsid w:val="003B2403"/>
    <w:rsid w:val="00411011"/>
    <w:rsid w:val="0050429D"/>
    <w:rsid w:val="00582EB1"/>
    <w:rsid w:val="005914D1"/>
    <w:rsid w:val="005C19AB"/>
    <w:rsid w:val="005C27D5"/>
    <w:rsid w:val="005E33DE"/>
    <w:rsid w:val="00617D73"/>
    <w:rsid w:val="0063741A"/>
    <w:rsid w:val="00656214"/>
    <w:rsid w:val="006A10C8"/>
    <w:rsid w:val="006D1E6A"/>
    <w:rsid w:val="006D38BA"/>
    <w:rsid w:val="007D7C67"/>
    <w:rsid w:val="00805631"/>
    <w:rsid w:val="008128C7"/>
    <w:rsid w:val="009C2A79"/>
    <w:rsid w:val="00A8255C"/>
    <w:rsid w:val="00A84B61"/>
    <w:rsid w:val="00AC1B93"/>
    <w:rsid w:val="00AC7725"/>
    <w:rsid w:val="00AD7BB1"/>
    <w:rsid w:val="00B86BB6"/>
    <w:rsid w:val="00BA3C48"/>
    <w:rsid w:val="00CC0A61"/>
    <w:rsid w:val="00CC231E"/>
    <w:rsid w:val="00D55BFB"/>
    <w:rsid w:val="00ED5B39"/>
    <w:rsid w:val="00F01A02"/>
    <w:rsid w:val="00F36E73"/>
    <w:rsid w:val="00F9183F"/>
    <w:rsid w:val="00FD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1DBE1F"/>
  <w15:chartTrackingRefBased/>
  <w15:docId w15:val="{07770D4D-1797-4097-A9CB-D961B6CE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B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B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B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B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B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B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B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B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B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B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B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B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B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B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B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B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B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B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B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B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B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B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B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B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B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B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B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B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B9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C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character" w:customStyle="1" w:styleId="bold">
    <w:name w:val="bold"/>
    <w:basedOn w:val="DefaultParagraphFont"/>
    <w:rsid w:val="00AC1B93"/>
  </w:style>
  <w:style w:type="paragraph" w:styleId="NormalWeb">
    <w:name w:val="Normal (Web)"/>
    <w:basedOn w:val="Normal"/>
    <w:uiPriority w:val="99"/>
    <w:semiHidden/>
    <w:unhideWhenUsed/>
    <w:rsid w:val="00AC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character" w:customStyle="1" w:styleId="skiptranslate">
    <w:name w:val="skiptranslate"/>
    <w:basedOn w:val="DefaultParagraphFont"/>
    <w:rsid w:val="00AC1B93"/>
  </w:style>
  <w:style w:type="paragraph" w:customStyle="1" w:styleId="dec">
    <w:name w:val="dec"/>
    <w:basedOn w:val="Normal"/>
    <w:rsid w:val="00AC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bidi="th-TH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19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9AB"/>
  </w:style>
  <w:style w:type="paragraph" w:styleId="Footer">
    <w:name w:val="footer"/>
    <w:basedOn w:val="Normal"/>
    <w:link w:val="FooterChar"/>
    <w:uiPriority w:val="99"/>
    <w:unhideWhenUsed/>
    <w:rsid w:val="005C19A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9AB"/>
  </w:style>
  <w:style w:type="character" w:styleId="CommentReference">
    <w:name w:val="annotation reference"/>
    <w:basedOn w:val="DefaultParagraphFont"/>
    <w:uiPriority w:val="99"/>
    <w:semiHidden/>
    <w:unhideWhenUsed/>
    <w:rsid w:val="00F36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6E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6E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6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6E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5A84-F261-4A7E-9F66-2A736EF6494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1d420e-6265-4ec2-aeb7-5869659e3fe2}" enabled="0" method="" siteId="{d41d420e-6265-4ec2-aeb7-5869659e3f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2178</Characters>
  <Application>Microsoft Office Word</Application>
  <DocSecurity>0</DocSecurity>
  <Lines>46</Lines>
  <Paragraphs>20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7</cp:revision>
  <dcterms:created xsi:type="dcterms:W3CDTF">2026-04-03T13:15:00Z</dcterms:created>
  <dcterms:modified xsi:type="dcterms:W3CDTF">2026-04-15T05:05:00Z</dcterms:modified>
</cp:coreProperties>
</file>