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D803" w14:textId="77777777" w:rsidR="00C9549C" w:rsidRPr="00196748" w:rsidRDefault="00B70727"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 xml:space="preserve">1. </w:t>
      </w:r>
      <w:r w:rsidR="009A005C" w:rsidRPr="00196748">
        <w:rPr>
          <w:rFonts w:ascii="Helvetica" w:hAnsi="Helvetica" w:cs="Arial"/>
          <w:sz w:val="20"/>
          <w:lang w:val="lt-LT"/>
        </w:rPr>
        <w:t xml:space="preserve">Derinys, apimantis anti-LAG-3 antikūną ir anti-PD-1 antikūną, skirtas </w:t>
      </w:r>
      <w:r w:rsidR="0061171B" w:rsidRPr="00196748">
        <w:rPr>
          <w:rFonts w:ascii="Helvetica" w:hAnsi="Helvetica" w:cs="Arial"/>
          <w:sz w:val="20"/>
          <w:lang w:val="lt-LT"/>
        </w:rPr>
        <w:t>pa</w:t>
      </w:r>
      <w:r w:rsidR="009A005C" w:rsidRPr="00196748">
        <w:rPr>
          <w:rFonts w:ascii="Helvetica" w:hAnsi="Helvetica" w:cs="Arial"/>
          <w:sz w:val="20"/>
          <w:lang w:val="lt-LT"/>
        </w:rPr>
        <w:t xml:space="preserve">naudoti </w:t>
      </w:r>
      <w:r w:rsidR="0061171B" w:rsidRPr="00196748">
        <w:rPr>
          <w:rFonts w:ascii="Helvetica" w:hAnsi="Helvetica" w:cs="Arial"/>
          <w:sz w:val="20"/>
          <w:lang w:val="lt-LT"/>
        </w:rPr>
        <w:t xml:space="preserve">taikant pacientui </w:t>
      </w:r>
      <w:proofErr w:type="spellStart"/>
      <w:r w:rsidR="009A005C" w:rsidRPr="00196748">
        <w:rPr>
          <w:rFonts w:ascii="Helvetica" w:hAnsi="Helvetica" w:cs="Arial"/>
          <w:sz w:val="20"/>
          <w:lang w:val="lt-LT"/>
        </w:rPr>
        <w:t>metastazavusio</w:t>
      </w:r>
      <w:proofErr w:type="spellEnd"/>
      <w:r w:rsidR="009A005C" w:rsidRPr="00196748">
        <w:rPr>
          <w:rFonts w:ascii="Helvetica" w:hAnsi="Helvetica" w:cs="Arial"/>
          <w:sz w:val="20"/>
          <w:lang w:val="lt-LT"/>
        </w:rPr>
        <w:t xml:space="preserve"> melanomos naviko arba neoperuotino melanomos naviko augimo slopinimo </w:t>
      </w:r>
      <w:r w:rsidR="0061171B" w:rsidRPr="00196748">
        <w:rPr>
          <w:rFonts w:ascii="Helvetica" w:hAnsi="Helvetica" w:cs="Arial"/>
          <w:sz w:val="20"/>
          <w:lang w:val="lt-LT"/>
        </w:rPr>
        <w:t>būdą</w:t>
      </w:r>
      <w:r w:rsidR="009A005C" w:rsidRPr="00196748">
        <w:rPr>
          <w:rFonts w:ascii="Helvetica" w:hAnsi="Helvetica" w:cs="Arial"/>
          <w:sz w:val="20"/>
          <w:lang w:val="lt-LT"/>
        </w:rPr>
        <w:t>, k</w:t>
      </w:r>
      <w:r w:rsidR="0061171B" w:rsidRPr="00196748">
        <w:rPr>
          <w:rFonts w:ascii="Helvetica" w:hAnsi="Helvetica" w:cs="Arial"/>
          <w:sz w:val="20"/>
          <w:lang w:val="lt-LT"/>
        </w:rPr>
        <w:t>ur būdas apima įvedimą pacientui</w:t>
      </w:r>
      <w:r w:rsidR="009A005C" w:rsidRPr="00196748">
        <w:rPr>
          <w:rFonts w:ascii="Helvetica" w:hAnsi="Helvetica" w:cs="Arial"/>
          <w:sz w:val="20"/>
          <w:lang w:val="lt-LT"/>
        </w:rPr>
        <w:t xml:space="preserve"> 160 mg anti-LAG-3 antikūno ir 480 mg anti-PD-1 antikūno, ir k</w:t>
      </w:r>
      <w:r w:rsidR="00C9549C" w:rsidRPr="00196748">
        <w:rPr>
          <w:rFonts w:ascii="Helvetica" w:hAnsi="Helvetica" w:cs="Arial"/>
          <w:sz w:val="20"/>
          <w:lang w:val="lt-LT"/>
        </w:rPr>
        <w:t>ur</w:t>
      </w:r>
      <w:r w:rsidR="009A005C" w:rsidRPr="00196748">
        <w:rPr>
          <w:rFonts w:ascii="Helvetica" w:hAnsi="Helvetica" w:cs="Arial"/>
          <w:sz w:val="20"/>
          <w:lang w:val="lt-LT"/>
        </w:rPr>
        <w:t xml:space="preserve"> pacient</w:t>
      </w:r>
      <w:r w:rsidR="00C9549C" w:rsidRPr="00196748">
        <w:rPr>
          <w:rFonts w:ascii="Helvetica" w:hAnsi="Helvetica" w:cs="Arial"/>
          <w:sz w:val="20"/>
          <w:lang w:val="lt-LT"/>
        </w:rPr>
        <w:t>ui</w:t>
      </w:r>
      <w:r w:rsidR="009A005C" w:rsidRPr="00196748">
        <w:rPr>
          <w:rFonts w:ascii="Helvetica" w:hAnsi="Helvetica" w:cs="Arial"/>
          <w:sz w:val="20"/>
          <w:lang w:val="lt-LT"/>
        </w:rPr>
        <w:t xml:space="preserve"> anksčiau nebuvo </w:t>
      </w:r>
      <w:r w:rsidR="00C9549C" w:rsidRPr="00196748">
        <w:rPr>
          <w:rFonts w:ascii="Helvetica" w:hAnsi="Helvetica" w:cs="Arial"/>
          <w:sz w:val="20"/>
          <w:lang w:val="lt-LT"/>
        </w:rPr>
        <w:t>taikytas</w:t>
      </w:r>
      <w:r w:rsidR="009A005C" w:rsidRPr="00196748">
        <w:rPr>
          <w:rFonts w:ascii="Helvetica" w:hAnsi="Helvetica" w:cs="Arial"/>
          <w:sz w:val="20"/>
          <w:lang w:val="lt-LT"/>
        </w:rPr>
        <w:t xml:space="preserve"> jok</w:t>
      </w:r>
      <w:r w:rsidR="00C9549C" w:rsidRPr="00196748">
        <w:rPr>
          <w:rFonts w:ascii="Helvetica" w:hAnsi="Helvetica" w:cs="Arial"/>
          <w:sz w:val="20"/>
          <w:lang w:val="lt-LT"/>
        </w:rPr>
        <w:t>s</w:t>
      </w:r>
      <w:r w:rsidR="009A005C" w:rsidRPr="00196748">
        <w:rPr>
          <w:rFonts w:ascii="Helvetica" w:hAnsi="Helvetica" w:cs="Arial"/>
          <w:sz w:val="20"/>
          <w:lang w:val="lt-LT"/>
        </w:rPr>
        <w:t xml:space="preserve"> sistemini</w:t>
      </w:r>
      <w:r w:rsidR="00C9549C" w:rsidRPr="00196748">
        <w:rPr>
          <w:rFonts w:ascii="Helvetica" w:hAnsi="Helvetica" w:cs="Arial"/>
          <w:sz w:val="20"/>
          <w:lang w:val="lt-LT"/>
        </w:rPr>
        <w:t>s</w:t>
      </w:r>
      <w:r w:rsidR="009A005C" w:rsidRPr="00196748">
        <w:rPr>
          <w:rFonts w:ascii="Helvetica" w:hAnsi="Helvetica" w:cs="Arial"/>
          <w:sz w:val="20"/>
          <w:lang w:val="lt-LT"/>
        </w:rPr>
        <w:t xml:space="preserve"> gydym</w:t>
      </w:r>
      <w:r w:rsidR="00C9549C" w:rsidRPr="00196748">
        <w:rPr>
          <w:rFonts w:ascii="Helvetica" w:hAnsi="Helvetica" w:cs="Arial"/>
          <w:sz w:val="20"/>
          <w:lang w:val="lt-LT"/>
        </w:rPr>
        <w:t>as</w:t>
      </w:r>
      <w:r w:rsidR="009A005C" w:rsidRPr="00196748">
        <w:rPr>
          <w:rFonts w:ascii="Helvetica" w:hAnsi="Helvetica" w:cs="Arial"/>
          <w:sz w:val="20"/>
          <w:lang w:val="lt-LT"/>
        </w:rPr>
        <w:t xml:space="preserve"> nuo </w:t>
      </w:r>
      <w:proofErr w:type="spellStart"/>
      <w:r w:rsidR="009A005C" w:rsidRPr="00196748">
        <w:rPr>
          <w:rFonts w:ascii="Helvetica" w:hAnsi="Helvetica" w:cs="Arial"/>
          <w:sz w:val="20"/>
          <w:lang w:val="lt-LT"/>
        </w:rPr>
        <w:t>metastazavusios</w:t>
      </w:r>
      <w:proofErr w:type="spellEnd"/>
      <w:r w:rsidR="009A005C" w:rsidRPr="00196748">
        <w:rPr>
          <w:rFonts w:ascii="Helvetica" w:hAnsi="Helvetica" w:cs="Arial"/>
          <w:sz w:val="20"/>
          <w:lang w:val="lt-LT"/>
        </w:rPr>
        <w:t xml:space="preserve"> melanomos arba neoperuotinos melanomos</w:t>
      </w:r>
      <w:r w:rsidR="00C9549C" w:rsidRPr="00196748">
        <w:rPr>
          <w:rFonts w:ascii="Helvetica" w:hAnsi="Helvetica" w:cs="Arial"/>
          <w:sz w:val="20"/>
          <w:lang w:val="lt-LT"/>
        </w:rPr>
        <w:t>,</w:t>
      </w:r>
      <w:r w:rsidR="009A005C" w:rsidRPr="00196748">
        <w:rPr>
          <w:rFonts w:ascii="Helvetica" w:hAnsi="Helvetica" w:cs="Arial"/>
          <w:sz w:val="20"/>
          <w:lang w:val="lt-LT"/>
        </w:rPr>
        <w:t xml:space="preserve"> </w:t>
      </w:r>
    </w:p>
    <w:p w14:paraId="233D1506" w14:textId="18CA53B6"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kur anti-LAG-3 antikūnas apima sunkiosios grandinės kintamo</w:t>
      </w:r>
      <w:r w:rsidR="00C9549C" w:rsidRPr="00196748">
        <w:rPr>
          <w:rFonts w:ascii="Helvetica" w:hAnsi="Helvetica" w:cs="Arial"/>
          <w:sz w:val="20"/>
          <w:lang w:val="lt-LT"/>
        </w:rPr>
        <w:t>s srities CDR1, CDR2 ir CDR3 domenus</w:t>
      </w:r>
      <w:r w:rsidRPr="00196748">
        <w:rPr>
          <w:rFonts w:ascii="Helvetica" w:hAnsi="Helvetica" w:cs="Arial"/>
          <w:sz w:val="20"/>
          <w:lang w:val="lt-LT"/>
        </w:rPr>
        <w:t>, kuri</w:t>
      </w:r>
      <w:r w:rsidR="00C9549C" w:rsidRPr="00196748">
        <w:rPr>
          <w:rFonts w:ascii="Helvetica" w:hAnsi="Helvetica" w:cs="Arial"/>
          <w:sz w:val="20"/>
          <w:lang w:val="lt-LT"/>
        </w:rPr>
        <w:t>ų</w:t>
      </w:r>
      <w:r w:rsidRPr="00196748">
        <w:rPr>
          <w:rFonts w:ascii="Helvetica" w:hAnsi="Helvetica" w:cs="Arial"/>
          <w:sz w:val="20"/>
          <w:lang w:val="lt-LT"/>
        </w:rPr>
        <w:t xml:space="preserve"> seka nurodyta SEQ ID N</w:t>
      </w:r>
      <w:r w:rsidR="00C9549C" w:rsidRPr="00196748">
        <w:rPr>
          <w:rFonts w:ascii="Helvetica" w:hAnsi="Helvetica" w:cs="Arial"/>
          <w:sz w:val="20"/>
          <w:lang w:val="lt-LT"/>
        </w:rPr>
        <w:t xml:space="preserve">r. </w:t>
      </w:r>
      <w:r w:rsidRPr="00196748">
        <w:rPr>
          <w:rFonts w:ascii="Helvetica" w:hAnsi="Helvetica" w:cs="Arial"/>
          <w:sz w:val="20"/>
          <w:lang w:val="lt-LT"/>
        </w:rPr>
        <w:t xml:space="preserve">3, ir lengvosios grandinės </w:t>
      </w:r>
      <w:r w:rsidR="00C9549C" w:rsidRPr="00196748">
        <w:rPr>
          <w:rFonts w:ascii="Helvetica" w:hAnsi="Helvetica" w:cs="Arial"/>
          <w:sz w:val="20"/>
          <w:lang w:val="lt-LT"/>
        </w:rPr>
        <w:t>kintamos srities CDR1, CDR2 ir CDR3 domenus, kurių seka nurodyta SEQ ID Nr. 5</w:t>
      </w:r>
      <w:r w:rsidRPr="00196748">
        <w:rPr>
          <w:rFonts w:ascii="Helvetica" w:hAnsi="Helvetica" w:cs="Arial"/>
          <w:sz w:val="20"/>
          <w:lang w:val="lt-LT"/>
        </w:rPr>
        <w:t>, ir</w:t>
      </w:r>
    </w:p>
    <w:p w14:paraId="795C5374" w14:textId="7F50C13D"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kur anti-PD-1 antikūnas apima sunkiosios grandinės </w:t>
      </w:r>
      <w:r w:rsidR="00C9549C" w:rsidRPr="00196748">
        <w:rPr>
          <w:rFonts w:ascii="Helvetica" w:hAnsi="Helvetica" w:cs="Arial"/>
          <w:sz w:val="20"/>
          <w:lang w:val="lt-LT"/>
        </w:rPr>
        <w:t>kintamos srities CDR1, CDR2 ir CDR3 domenus, kurių seka nurodyta SEQ ID Nr. 15,</w:t>
      </w:r>
      <w:r w:rsidRPr="00196748">
        <w:rPr>
          <w:rFonts w:ascii="Helvetica" w:hAnsi="Helvetica" w:cs="Arial"/>
          <w:sz w:val="20"/>
          <w:lang w:val="lt-LT"/>
        </w:rPr>
        <w:t xml:space="preserve"> ir lengvosios grandinės </w:t>
      </w:r>
      <w:r w:rsidR="00C9549C" w:rsidRPr="00196748">
        <w:rPr>
          <w:rFonts w:ascii="Helvetica" w:hAnsi="Helvetica" w:cs="Arial"/>
          <w:sz w:val="20"/>
          <w:lang w:val="lt-LT"/>
        </w:rPr>
        <w:t>kintamos srities CDR1, CDR2 ir CDR3 domenus, kurių seka nurodyta SEQ ID Nr. 17</w:t>
      </w:r>
      <w:r w:rsidRPr="00196748">
        <w:rPr>
          <w:rFonts w:ascii="Helvetica" w:hAnsi="Helvetica" w:cs="Arial"/>
          <w:sz w:val="20"/>
          <w:lang w:val="lt-LT"/>
        </w:rPr>
        <w:t>.</w:t>
      </w:r>
    </w:p>
    <w:p w14:paraId="4FF21811" w14:textId="77777777" w:rsidR="00C9549C" w:rsidRPr="00196748" w:rsidRDefault="00C9549C" w:rsidP="00196748">
      <w:pPr>
        <w:spacing w:after="0" w:line="360" w:lineRule="auto"/>
        <w:jc w:val="both"/>
        <w:rPr>
          <w:rFonts w:ascii="Helvetica" w:hAnsi="Helvetica" w:cs="Arial"/>
          <w:sz w:val="20"/>
          <w:lang w:val="lt-LT"/>
        </w:rPr>
      </w:pPr>
    </w:p>
    <w:p w14:paraId="3EF433DE" w14:textId="62CCDAB2"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2.</w:t>
      </w:r>
      <w:r w:rsidR="00C9549C" w:rsidRPr="00196748">
        <w:rPr>
          <w:rFonts w:ascii="Helvetica" w:hAnsi="Helvetica" w:cs="Arial"/>
          <w:sz w:val="20"/>
          <w:lang w:val="lt-LT"/>
        </w:rPr>
        <w:t xml:space="preserve"> </w:t>
      </w:r>
      <w:r w:rsidRPr="00196748">
        <w:rPr>
          <w:rFonts w:ascii="Helvetica" w:hAnsi="Helvetica" w:cs="Arial"/>
          <w:sz w:val="20"/>
          <w:lang w:val="lt-LT"/>
        </w:rPr>
        <w:t xml:space="preserve">Anti-LAG-3 antikūnas, </w:t>
      </w:r>
      <w:r w:rsidR="00E602AA" w:rsidRPr="00196748">
        <w:rPr>
          <w:rFonts w:ascii="Helvetica" w:hAnsi="Helvetica" w:cs="Arial"/>
          <w:sz w:val="20"/>
          <w:lang w:val="lt-LT"/>
        </w:rPr>
        <w:t xml:space="preserve">skirtas panaudoti taikant pacientui </w:t>
      </w:r>
      <w:proofErr w:type="spellStart"/>
      <w:r w:rsidR="00E602AA" w:rsidRPr="00196748">
        <w:rPr>
          <w:rFonts w:ascii="Helvetica" w:hAnsi="Helvetica" w:cs="Arial"/>
          <w:sz w:val="20"/>
          <w:lang w:val="lt-LT"/>
        </w:rPr>
        <w:t>metastazavusio</w:t>
      </w:r>
      <w:proofErr w:type="spellEnd"/>
      <w:r w:rsidR="00E602AA" w:rsidRPr="00196748">
        <w:rPr>
          <w:rFonts w:ascii="Helvetica" w:hAnsi="Helvetica" w:cs="Arial"/>
          <w:sz w:val="20"/>
          <w:lang w:val="lt-LT"/>
        </w:rPr>
        <w:t xml:space="preserve"> melanomos naviko arba neoperuotino melanomos naviko augimo slopinimo būdą, kur būdas apima įvedimą pacientui 160 mg anti-LAG-3 antikūno ir 480 mg anti-PD-1 antikūno, ir kur pacientui anksčiau nebuvo taikytas joks sisteminis gydymas nuo </w:t>
      </w:r>
      <w:proofErr w:type="spellStart"/>
      <w:r w:rsidR="00E602AA" w:rsidRPr="00196748">
        <w:rPr>
          <w:rFonts w:ascii="Helvetica" w:hAnsi="Helvetica" w:cs="Arial"/>
          <w:sz w:val="20"/>
          <w:lang w:val="lt-LT"/>
        </w:rPr>
        <w:t>metastazavusios</w:t>
      </w:r>
      <w:proofErr w:type="spellEnd"/>
      <w:r w:rsidR="00E602AA" w:rsidRPr="00196748">
        <w:rPr>
          <w:rFonts w:ascii="Helvetica" w:hAnsi="Helvetica" w:cs="Arial"/>
          <w:sz w:val="20"/>
          <w:lang w:val="lt-LT"/>
        </w:rPr>
        <w:t xml:space="preserve"> melanomos arba neoperuotinos melanomos,</w:t>
      </w:r>
    </w:p>
    <w:p w14:paraId="23E30A81" w14:textId="77777777" w:rsidR="00E602AA" w:rsidRPr="00196748" w:rsidRDefault="00E602AA" w:rsidP="00196748">
      <w:pPr>
        <w:spacing w:after="0" w:line="360" w:lineRule="auto"/>
        <w:jc w:val="both"/>
        <w:rPr>
          <w:rFonts w:ascii="Helvetica" w:hAnsi="Helvetica" w:cs="Arial"/>
          <w:sz w:val="20"/>
          <w:lang w:val="lt-LT"/>
        </w:rPr>
      </w:pPr>
      <w:r w:rsidRPr="00196748">
        <w:rPr>
          <w:rFonts w:ascii="Helvetica" w:hAnsi="Helvetica" w:cs="Arial"/>
          <w:sz w:val="20"/>
          <w:lang w:val="lt-LT"/>
        </w:rPr>
        <w:t>kur anti-LAG-3 antikūnas apima sunkiosios grandinės kintamos srities CDR1, CDR2 ir CDR3 domenus, kurių seka nurodyta SEQ ID Nr. 3, ir lengvosios grandinės kintamos srities CDR1, CDR2 ir CDR3 domenus, kurių seka nurodyta SEQ ID Nr. 5, ir</w:t>
      </w:r>
    </w:p>
    <w:p w14:paraId="188674C6" w14:textId="5816AD69" w:rsidR="009A005C" w:rsidRPr="00196748" w:rsidRDefault="00E602AA" w:rsidP="00196748">
      <w:pPr>
        <w:spacing w:after="0" w:line="360" w:lineRule="auto"/>
        <w:jc w:val="both"/>
        <w:rPr>
          <w:rFonts w:ascii="Helvetica" w:hAnsi="Helvetica" w:cs="Arial"/>
          <w:sz w:val="20"/>
          <w:lang w:val="lt-LT"/>
        </w:rPr>
      </w:pPr>
      <w:r w:rsidRPr="00196748">
        <w:rPr>
          <w:rFonts w:ascii="Helvetica" w:hAnsi="Helvetica" w:cs="Arial"/>
          <w:sz w:val="20"/>
          <w:lang w:val="lt-LT"/>
        </w:rPr>
        <w:t>kur anti-PD-1 antikūnas apima sunkiosios grandinės kintamos srities CDR1, CDR2 ir CDR3 domenus, kurių seka nurodyta SEQ ID Nr. 15, ir lengvosios grandinės kintamos srities CDR1, CDR2 ir CDR3 domenus, kurių seka nurodyta SEQ ID Nr. 17.</w:t>
      </w:r>
    </w:p>
    <w:p w14:paraId="2E927BB3" w14:textId="77777777" w:rsidR="00E602AA" w:rsidRPr="00196748" w:rsidRDefault="00E602AA" w:rsidP="00196748">
      <w:pPr>
        <w:spacing w:after="0" w:line="360" w:lineRule="auto"/>
        <w:jc w:val="both"/>
        <w:rPr>
          <w:rFonts w:ascii="Helvetica" w:hAnsi="Helvetica" w:cs="Arial"/>
          <w:sz w:val="20"/>
          <w:lang w:val="lt-LT"/>
        </w:rPr>
      </w:pPr>
    </w:p>
    <w:p w14:paraId="4A234751" w14:textId="25E8B252"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3.</w:t>
      </w:r>
      <w:r w:rsidR="00E602AA" w:rsidRPr="00196748">
        <w:rPr>
          <w:rFonts w:ascii="Helvetica" w:hAnsi="Helvetica" w:cs="Arial"/>
          <w:sz w:val="20"/>
          <w:lang w:val="lt-LT"/>
        </w:rPr>
        <w:t xml:space="preserve"> </w:t>
      </w:r>
      <w:r w:rsidRPr="00196748">
        <w:rPr>
          <w:rFonts w:ascii="Helvetica" w:hAnsi="Helvetica" w:cs="Arial"/>
          <w:sz w:val="20"/>
          <w:lang w:val="lt-LT"/>
        </w:rPr>
        <w:t xml:space="preserve">Anti-PD-1 antikūnas, </w:t>
      </w:r>
      <w:r w:rsidR="00E602AA" w:rsidRPr="00196748">
        <w:rPr>
          <w:rFonts w:ascii="Helvetica" w:hAnsi="Helvetica" w:cs="Arial"/>
          <w:sz w:val="20"/>
          <w:lang w:val="lt-LT"/>
        </w:rPr>
        <w:t xml:space="preserve">skirtas panaudoti taikant pacientui </w:t>
      </w:r>
      <w:proofErr w:type="spellStart"/>
      <w:r w:rsidR="00E602AA" w:rsidRPr="00196748">
        <w:rPr>
          <w:rFonts w:ascii="Helvetica" w:hAnsi="Helvetica" w:cs="Arial"/>
          <w:sz w:val="20"/>
          <w:lang w:val="lt-LT"/>
        </w:rPr>
        <w:t>metastazavusio</w:t>
      </w:r>
      <w:proofErr w:type="spellEnd"/>
      <w:r w:rsidR="00E602AA" w:rsidRPr="00196748">
        <w:rPr>
          <w:rFonts w:ascii="Helvetica" w:hAnsi="Helvetica" w:cs="Arial"/>
          <w:sz w:val="20"/>
          <w:lang w:val="lt-LT"/>
        </w:rPr>
        <w:t xml:space="preserve"> melanomos naviko arba neoperuotino melanomos naviko augimo slopinimo būdą, kur būdas apima įvedimą pacientui 160 mg anti-LAG-3 antikūno ir 480 mg anti-PD-1 antikūno, ir kur pacientui anksčiau nebuvo taikytas joks sisteminis gydymas nuo </w:t>
      </w:r>
      <w:proofErr w:type="spellStart"/>
      <w:r w:rsidR="00E602AA" w:rsidRPr="00196748">
        <w:rPr>
          <w:rFonts w:ascii="Helvetica" w:hAnsi="Helvetica" w:cs="Arial"/>
          <w:sz w:val="20"/>
          <w:lang w:val="lt-LT"/>
        </w:rPr>
        <w:t>metastazavusios</w:t>
      </w:r>
      <w:proofErr w:type="spellEnd"/>
      <w:r w:rsidR="00E602AA" w:rsidRPr="00196748">
        <w:rPr>
          <w:rFonts w:ascii="Helvetica" w:hAnsi="Helvetica" w:cs="Arial"/>
          <w:sz w:val="20"/>
          <w:lang w:val="lt-LT"/>
        </w:rPr>
        <w:t xml:space="preserve"> melanomos arba neoperuotinos melanomos,</w:t>
      </w:r>
    </w:p>
    <w:p w14:paraId="3FA16021" w14:textId="77777777" w:rsidR="00E602AA" w:rsidRPr="00196748" w:rsidRDefault="00E602AA" w:rsidP="00196748">
      <w:pPr>
        <w:spacing w:after="0" w:line="360" w:lineRule="auto"/>
        <w:jc w:val="both"/>
        <w:rPr>
          <w:rFonts w:ascii="Helvetica" w:hAnsi="Helvetica" w:cs="Arial"/>
          <w:sz w:val="20"/>
          <w:lang w:val="lt-LT"/>
        </w:rPr>
      </w:pPr>
      <w:r w:rsidRPr="00196748">
        <w:rPr>
          <w:rFonts w:ascii="Helvetica" w:hAnsi="Helvetica" w:cs="Arial"/>
          <w:sz w:val="20"/>
          <w:lang w:val="lt-LT"/>
        </w:rPr>
        <w:t>kur anti-LAG-3 antikūnas apima sunkiosios grandinės kintamos srities CDR1, CDR2 ir CDR3 domenus, kurių seka nurodyta SEQ ID Nr. 3, ir lengvosios grandinės kintamos srities CDR1, CDR2 ir CDR3 domenus, kurių seka nurodyta SEQ ID Nr. 5, ir</w:t>
      </w:r>
    </w:p>
    <w:p w14:paraId="62A5CC92" w14:textId="2CF1A0AA" w:rsidR="009A005C" w:rsidRPr="00196748" w:rsidRDefault="00E602AA" w:rsidP="00196748">
      <w:pPr>
        <w:spacing w:after="0" w:line="360" w:lineRule="auto"/>
        <w:jc w:val="both"/>
        <w:rPr>
          <w:rFonts w:ascii="Helvetica" w:hAnsi="Helvetica" w:cs="Arial"/>
          <w:sz w:val="20"/>
          <w:lang w:val="lt-LT"/>
        </w:rPr>
      </w:pPr>
      <w:r w:rsidRPr="00196748">
        <w:rPr>
          <w:rFonts w:ascii="Helvetica" w:hAnsi="Helvetica" w:cs="Arial"/>
          <w:sz w:val="20"/>
          <w:lang w:val="lt-LT"/>
        </w:rPr>
        <w:t>kur anti-PD-1 antikūnas apima sunkiosios grandinės kintamos srities CDR1, CDR2 ir CDR3 domenus, kurių seka nurodyta SEQ ID Nr. 15, ir lengvosios grandinės kintamos srities CDR1, CDR2 ir CDR3 domenus, kurių seka nurodyta SEQ ID Nr. 17.</w:t>
      </w:r>
    </w:p>
    <w:p w14:paraId="33A0589F" w14:textId="77777777" w:rsidR="00E602AA" w:rsidRPr="00196748" w:rsidRDefault="00E602AA" w:rsidP="00196748">
      <w:pPr>
        <w:spacing w:after="0" w:line="360" w:lineRule="auto"/>
        <w:jc w:val="both"/>
        <w:rPr>
          <w:rFonts w:ascii="Helvetica" w:hAnsi="Helvetica" w:cs="Arial"/>
          <w:sz w:val="20"/>
          <w:lang w:val="lt-LT"/>
        </w:rPr>
      </w:pPr>
    </w:p>
    <w:p w14:paraId="543FDCF1" w14:textId="4ABBB325"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4.</w:t>
      </w:r>
      <w:r w:rsidR="00E602AA" w:rsidRPr="00196748">
        <w:rPr>
          <w:rFonts w:ascii="Helvetica" w:hAnsi="Helvetica" w:cs="Arial"/>
          <w:sz w:val="20"/>
          <w:lang w:val="lt-LT"/>
        </w:rPr>
        <w:t xml:space="preserve"> </w:t>
      </w:r>
      <w:r w:rsidRPr="00196748">
        <w:rPr>
          <w:rFonts w:ascii="Helvetica" w:hAnsi="Helvetica" w:cs="Arial"/>
          <w:sz w:val="20"/>
          <w:lang w:val="lt-LT"/>
        </w:rPr>
        <w:t xml:space="preserve">Derinys, anti-LAG-3 antikūnas arba anti-PD-1 antikūnas,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1–3 punktų, kur pacientui </w:t>
      </w:r>
      <w:r w:rsidR="00E602AA" w:rsidRPr="00196748">
        <w:rPr>
          <w:rFonts w:ascii="Helvetica" w:hAnsi="Helvetica" w:cs="Arial"/>
          <w:sz w:val="20"/>
          <w:lang w:val="lt-LT"/>
        </w:rPr>
        <w:t xml:space="preserve">yra </w:t>
      </w:r>
      <w:proofErr w:type="spellStart"/>
      <w:r w:rsidRPr="00196748">
        <w:rPr>
          <w:rFonts w:ascii="Helvetica" w:hAnsi="Helvetica" w:cs="Arial"/>
          <w:sz w:val="20"/>
          <w:lang w:val="lt-LT"/>
        </w:rPr>
        <w:t>histologiškai</w:t>
      </w:r>
      <w:proofErr w:type="spellEnd"/>
      <w:r w:rsidRPr="00196748">
        <w:rPr>
          <w:rFonts w:ascii="Helvetica" w:hAnsi="Helvetica" w:cs="Arial"/>
          <w:sz w:val="20"/>
          <w:lang w:val="lt-LT"/>
        </w:rPr>
        <w:t xml:space="preserve"> patvirtinta neoperuotina III arba IV stadijos melanoma.</w:t>
      </w:r>
    </w:p>
    <w:p w14:paraId="76F212DB" w14:textId="77777777" w:rsidR="00E602AA" w:rsidRPr="00196748" w:rsidRDefault="00E602AA" w:rsidP="00196748">
      <w:pPr>
        <w:spacing w:after="0" w:line="360" w:lineRule="auto"/>
        <w:jc w:val="both"/>
        <w:rPr>
          <w:rFonts w:ascii="Helvetica" w:hAnsi="Helvetica" w:cs="Arial"/>
          <w:sz w:val="20"/>
          <w:lang w:val="lt-LT"/>
        </w:rPr>
      </w:pPr>
    </w:p>
    <w:p w14:paraId="66321B4A" w14:textId="7601D95B"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5.</w:t>
      </w:r>
      <w:r w:rsidR="00E602AA" w:rsidRPr="00196748">
        <w:rPr>
          <w:rFonts w:ascii="Helvetica" w:hAnsi="Helvetica" w:cs="Arial"/>
          <w:sz w:val="20"/>
          <w:lang w:val="lt-LT"/>
        </w:rPr>
        <w:t xml:space="preserve"> </w:t>
      </w:r>
      <w:r w:rsidRPr="00196748">
        <w:rPr>
          <w:rFonts w:ascii="Helvetica" w:hAnsi="Helvetica" w:cs="Arial"/>
          <w:sz w:val="20"/>
          <w:lang w:val="lt-LT"/>
        </w:rPr>
        <w:t xml:space="preserve">Anti-LAG-3 antikūno arba anti-PD-1 antikūno derinys,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1–4 punktų, kur pacientas:</w:t>
      </w:r>
    </w:p>
    <w:p w14:paraId="2B4DD4A1" w14:textId="53033B12"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yra 12 metų ar</w:t>
      </w:r>
      <w:r w:rsidR="00E602AA" w:rsidRPr="00196748">
        <w:rPr>
          <w:rFonts w:ascii="Helvetica" w:hAnsi="Helvetica" w:cs="Arial"/>
          <w:sz w:val="20"/>
          <w:lang w:val="lt-LT"/>
        </w:rPr>
        <w:t>ba</w:t>
      </w:r>
      <w:r w:rsidRPr="00196748">
        <w:rPr>
          <w:rFonts w:ascii="Helvetica" w:hAnsi="Helvetica" w:cs="Arial"/>
          <w:sz w:val="20"/>
          <w:lang w:val="lt-LT"/>
        </w:rPr>
        <w:t xml:space="preserve"> vyresnis, arba</w:t>
      </w:r>
    </w:p>
    <w:p w14:paraId="63E2E9CC" w14:textId="47C9FE36" w:rsidR="009A005C" w:rsidRPr="00196748" w:rsidRDefault="00E602AA" w:rsidP="00196748">
      <w:pPr>
        <w:spacing w:after="0" w:line="360" w:lineRule="auto"/>
        <w:jc w:val="both"/>
        <w:rPr>
          <w:rFonts w:ascii="Helvetica" w:hAnsi="Helvetica" w:cs="Arial"/>
          <w:sz w:val="20"/>
          <w:lang w:val="lt-LT"/>
        </w:rPr>
      </w:pPr>
      <w:r w:rsidRPr="00196748">
        <w:rPr>
          <w:rFonts w:ascii="Helvetica" w:hAnsi="Helvetica" w:cs="Arial"/>
          <w:sz w:val="20"/>
          <w:lang w:val="lt-LT"/>
        </w:rPr>
        <w:t>pagal Rytų jungtinės onkologų grupės (ECOG) skalę</w:t>
      </w:r>
      <w:r w:rsidR="00F322DE" w:rsidRPr="00196748">
        <w:rPr>
          <w:rFonts w:ascii="Helvetica" w:hAnsi="Helvetica" w:cs="Arial"/>
          <w:sz w:val="20"/>
          <w:lang w:val="lt-LT"/>
        </w:rPr>
        <w:t xml:space="preserve"> yra</w:t>
      </w:r>
      <w:r w:rsidRPr="00196748">
        <w:rPr>
          <w:rFonts w:ascii="Helvetica" w:hAnsi="Helvetica" w:cs="Arial"/>
          <w:sz w:val="20"/>
          <w:lang w:val="lt-LT"/>
        </w:rPr>
        <w:t xml:space="preserve"> įvertintas</w:t>
      </w:r>
      <w:r w:rsidR="00F322DE" w:rsidRPr="00196748">
        <w:rPr>
          <w:rFonts w:ascii="Helvetica" w:hAnsi="Helvetica" w:cs="Arial"/>
          <w:sz w:val="20"/>
          <w:lang w:val="lt-LT"/>
        </w:rPr>
        <w:t xml:space="preserve"> kaip turintis</w:t>
      </w:r>
      <w:r w:rsidR="009A005C" w:rsidRPr="00196748">
        <w:rPr>
          <w:rFonts w:ascii="Helvetica" w:hAnsi="Helvetica" w:cs="Arial"/>
          <w:sz w:val="20"/>
          <w:lang w:val="lt-LT"/>
        </w:rPr>
        <w:t xml:space="preserve"> 0 arba 1</w:t>
      </w:r>
      <w:r w:rsidR="00F322DE" w:rsidRPr="00196748">
        <w:rPr>
          <w:rFonts w:ascii="Helvetica" w:hAnsi="Helvetica" w:cs="Arial"/>
          <w:sz w:val="20"/>
          <w:lang w:val="lt-LT"/>
        </w:rPr>
        <w:t xml:space="preserve"> balo</w:t>
      </w:r>
      <w:r w:rsidR="009A005C" w:rsidRPr="00196748">
        <w:rPr>
          <w:rFonts w:ascii="Helvetica" w:hAnsi="Helvetica" w:cs="Arial"/>
          <w:sz w:val="20"/>
          <w:lang w:val="lt-LT"/>
        </w:rPr>
        <w:t xml:space="preserve"> funkcinę būklę, arba</w:t>
      </w:r>
    </w:p>
    <w:p w14:paraId="133011A0" w14:textId="28FDC0F4"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turi 80</w:t>
      </w:r>
      <w:r w:rsidR="00F322DE" w:rsidRPr="00196748">
        <w:rPr>
          <w:rFonts w:ascii="Helvetica" w:hAnsi="Helvetica" w:cs="Arial"/>
          <w:sz w:val="20"/>
          <w:lang w:val="lt-LT"/>
        </w:rPr>
        <w:t xml:space="preserve"> </w:t>
      </w:r>
      <w:r w:rsidRPr="00196748">
        <w:rPr>
          <w:rFonts w:ascii="Helvetica" w:hAnsi="Helvetica" w:cs="Arial"/>
          <w:sz w:val="20"/>
          <w:lang w:val="lt-LT"/>
        </w:rPr>
        <w:t>% ar</w:t>
      </w:r>
      <w:r w:rsidR="00F322DE" w:rsidRPr="00196748">
        <w:rPr>
          <w:rFonts w:ascii="Helvetica" w:hAnsi="Helvetica" w:cs="Arial"/>
          <w:sz w:val="20"/>
          <w:lang w:val="lt-LT"/>
        </w:rPr>
        <w:t>ba</w:t>
      </w:r>
      <w:r w:rsidRPr="00196748">
        <w:rPr>
          <w:rFonts w:ascii="Helvetica" w:hAnsi="Helvetica" w:cs="Arial"/>
          <w:sz w:val="20"/>
          <w:lang w:val="lt-LT"/>
        </w:rPr>
        <w:t xml:space="preserve"> didesnį </w:t>
      </w:r>
      <w:proofErr w:type="spellStart"/>
      <w:r w:rsidRPr="00196748">
        <w:rPr>
          <w:rFonts w:ascii="Helvetica" w:hAnsi="Helvetica" w:cs="Arial"/>
          <w:sz w:val="20"/>
          <w:lang w:val="lt-LT"/>
        </w:rPr>
        <w:t>Lansk</w:t>
      </w:r>
      <w:r w:rsidR="00F322DE" w:rsidRPr="00196748">
        <w:rPr>
          <w:rFonts w:ascii="Helvetica" w:hAnsi="Helvetica" w:cs="Arial"/>
          <w:sz w:val="20"/>
          <w:lang w:val="lt-LT"/>
        </w:rPr>
        <w:t>i</w:t>
      </w:r>
      <w:proofErr w:type="spellEnd"/>
      <w:r w:rsidRPr="00196748">
        <w:rPr>
          <w:rFonts w:ascii="Helvetica" w:hAnsi="Helvetica" w:cs="Arial"/>
          <w:sz w:val="20"/>
          <w:lang w:val="lt-LT"/>
        </w:rPr>
        <w:t xml:space="preserve"> </w:t>
      </w:r>
      <w:r w:rsidR="00F322DE" w:rsidRPr="00196748">
        <w:rPr>
          <w:rFonts w:ascii="Helvetica" w:hAnsi="Helvetica" w:cs="Arial"/>
          <w:sz w:val="20"/>
          <w:lang w:val="lt-LT"/>
        </w:rPr>
        <w:t>funkcinės būklės</w:t>
      </w:r>
      <w:r w:rsidRPr="00196748">
        <w:rPr>
          <w:rFonts w:ascii="Helvetica" w:hAnsi="Helvetica" w:cs="Arial"/>
          <w:sz w:val="20"/>
          <w:lang w:val="lt-LT"/>
        </w:rPr>
        <w:t xml:space="preserve"> balą, arba</w:t>
      </w:r>
    </w:p>
    <w:p w14:paraId="3620EAC9" w14:textId="1855F128" w:rsidR="009A005C" w:rsidRPr="00196748" w:rsidRDefault="00F322DE" w:rsidP="00196748">
      <w:pPr>
        <w:spacing w:after="0" w:line="360" w:lineRule="auto"/>
        <w:jc w:val="both"/>
        <w:rPr>
          <w:rFonts w:ascii="Helvetica" w:hAnsi="Helvetica" w:cs="Arial"/>
          <w:sz w:val="20"/>
          <w:lang w:val="lt-LT"/>
        </w:rPr>
      </w:pPr>
      <w:r w:rsidRPr="00196748">
        <w:rPr>
          <w:rFonts w:ascii="Helvetica" w:hAnsi="Helvetica" w:cs="Arial"/>
          <w:sz w:val="20"/>
          <w:lang w:val="lt-LT"/>
        </w:rPr>
        <w:t>pagal Rytų jungtinės onkologų grupės (ECOG) skalę yra įvertintas kaip turintis 0 arba 1 balo funkcinę būklę</w:t>
      </w:r>
      <w:r w:rsidR="009A005C" w:rsidRPr="00196748">
        <w:rPr>
          <w:rFonts w:ascii="Helvetica" w:hAnsi="Helvetica" w:cs="Arial"/>
          <w:sz w:val="20"/>
          <w:lang w:val="lt-LT"/>
        </w:rPr>
        <w:t xml:space="preserve"> ir 80 % </w:t>
      </w:r>
      <w:r w:rsidRPr="00196748">
        <w:rPr>
          <w:rFonts w:ascii="Helvetica" w:hAnsi="Helvetica" w:cs="Arial"/>
          <w:sz w:val="20"/>
          <w:lang w:val="lt-LT"/>
        </w:rPr>
        <w:t xml:space="preserve">arba didesnį </w:t>
      </w:r>
      <w:proofErr w:type="spellStart"/>
      <w:r w:rsidRPr="00196748">
        <w:rPr>
          <w:rFonts w:ascii="Helvetica" w:hAnsi="Helvetica" w:cs="Arial"/>
          <w:sz w:val="20"/>
          <w:lang w:val="lt-LT"/>
        </w:rPr>
        <w:t>Lanski</w:t>
      </w:r>
      <w:proofErr w:type="spellEnd"/>
      <w:r w:rsidRPr="00196748">
        <w:rPr>
          <w:rFonts w:ascii="Helvetica" w:hAnsi="Helvetica" w:cs="Arial"/>
          <w:sz w:val="20"/>
          <w:lang w:val="lt-LT"/>
        </w:rPr>
        <w:t xml:space="preserve"> funkcinės būklės balą</w:t>
      </w:r>
      <w:r w:rsidR="009A005C" w:rsidRPr="00196748">
        <w:rPr>
          <w:rFonts w:ascii="Helvetica" w:hAnsi="Helvetica" w:cs="Arial"/>
          <w:sz w:val="20"/>
          <w:lang w:val="lt-LT"/>
        </w:rPr>
        <w:t>, arba</w:t>
      </w:r>
    </w:p>
    <w:p w14:paraId="27DBFBAF" w14:textId="79E5199C"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lastRenderedPageBreak/>
        <w:t>turi išmatuojamą lig</w:t>
      </w:r>
      <w:r w:rsidR="00F322DE" w:rsidRPr="00196748">
        <w:rPr>
          <w:rFonts w:ascii="Helvetica" w:hAnsi="Helvetica" w:cs="Arial"/>
          <w:sz w:val="20"/>
          <w:lang w:val="lt-LT"/>
        </w:rPr>
        <w:t>os pasireiškimą</w:t>
      </w:r>
      <w:r w:rsidRPr="00196748">
        <w:rPr>
          <w:rFonts w:ascii="Helvetica" w:hAnsi="Helvetica" w:cs="Arial"/>
          <w:sz w:val="20"/>
          <w:lang w:val="lt-LT"/>
        </w:rPr>
        <w:t xml:space="preserve">, </w:t>
      </w:r>
      <w:r w:rsidR="00F322DE" w:rsidRPr="00196748">
        <w:rPr>
          <w:rFonts w:ascii="Helvetica" w:hAnsi="Helvetica" w:cs="Arial"/>
          <w:sz w:val="20"/>
          <w:lang w:val="lt-LT"/>
        </w:rPr>
        <w:t xml:space="preserve">kaip </w:t>
      </w:r>
      <w:r w:rsidRPr="00196748">
        <w:rPr>
          <w:rFonts w:ascii="Helvetica" w:hAnsi="Helvetica" w:cs="Arial"/>
          <w:sz w:val="20"/>
          <w:lang w:val="lt-LT"/>
        </w:rPr>
        <w:t>nustatyt</w:t>
      </w:r>
      <w:r w:rsidR="00F322DE" w:rsidRPr="00196748">
        <w:rPr>
          <w:rFonts w:ascii="Helvetica" w:hAnsi="Helvetica" w:cs="Arial"/>
          <w:sz w:val="20"/>
          <w:lang w:val="lt-LT"/>
        </w:rPr>
        <w:t>a</w:t>
      </w:r>
      <w:r w:rsidRPr="00196748">
        <w:rPr>
          <w:rFonts w:ascii="Helvetica" w:hAnsi="Helvetica" w:cs="Arial"/>
          <w:sz w:val="20"/>
          <w:lang w:val="lt-LT"/>
        </w:rPr>
        <w:t xml:space="preserve"> pagal atsako </w:t>
      </w:r>
      <w:proofErr w:type="spellStart"/>
      <w:r w:rsidR="00F322DE" w:rsidRPr="00196748">
        <w:rPr>
          <w:rFonts w:ascii="Helvetica" w:hAnsi="Helvetica" w:cs="Arial"/>
          <w:sz w:val="20"/>
          <w:lang w:val="lt-LT"/>
        </w:rPr>
        <w:t>solidiniuose</w:t>
      </w:r>
      <w:proofErr w:type="spellEnd"/>
      <w:r w:rsidR="00F322DE" w:rsidRPr="00196748">
        <w:rPr>
          <w:rFonts w:ascii="Helvetica" w:hAnsi="Helvetica" w:cs="Arial"/>
          <w:sz w:val="20"/>
          <w:lang w:val="lt-LT"/>
        </w:rPr>
        <w:t xml:space="preserve"> navikuose </w:t>
      </w:r>
      <w:r w:rsidRPr="00196748">
        <w:rPr>
          <w:rFonts w:ascii="Helvetica" w:hAnsi="Helvetica" w:cs="Arial"/>
          <w:sz w:val="20"/>
          <w:lang w:val="lt-LT"/>
        </w:rPr>
        <w:t>vertinimo kriterijus (RECIST) 1.1 versijoje.</w:t>
      </w:r>
    </w:p>
    <w:p w14:paraId="5C48AC23" w14:textId="77777777" w:rsidR="00F322DE" w:rsidRPr="00196748" w:rsidRDefault="00F322DE" w:rsidP="00196748">
      <w:pPr>
        <w:spacing w:after="0" w:line="360" w:lineRule="auto"/>
        <w:jc w:val="both"/>
        <w:rPr>
          <w:rFonts w:ascii="Helvetica" w:hAnsi="Helvetica" w:cs="Arial"/>
          <w:sz w:val="20"/>
          <w:lang w:val="lt-LT"/>
        </w:rPr>
      </w:pPr>
    </w:p>
    <w:p w14:paraId="31107421" w14:textId="1598E7BA"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6.</w:t>
      </w:r>
      <w:r w:rsidR="00F322DE" w:rsidRPr="00196748">
        <w:rPr>
          <w:rFonts w:ascii="Helvetica" w:hAnsi="Helvetica" w:cs="Arial"/>
          <w:sz w:val="20"/>
          <w:lang w:val="lt-LT"/>
        </w:rPr>
        <w:t xml:space="preserve"> </w:t>
      </w:r>
      <w:r w:rsidRPr="00196748">
        <w:rPr>
          <w:rFonts w:ascii="Helvetica" w:hAnsi="Helvetica" w:cs="Arial"/>
          <w:sz w:val="20"/>
          <w:lang w:val="lt-LT"/>
        </w:rPr>
        <w:t xml:space="preserve">Anti-LAG-3 antikūno arba anti-PD-1 antikūno derinys,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1–5 punktų,</w:t>
      </w:r>
    </w:p>
    <w:p w14:paraId="5F43E15D" w14:textId="0BFA40E8"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kur daugiau ne</w:t>
      </w:r>
      <w:r w:rsidR="00F322DE" w:rsidRPr="00196748">
        <w:rPr>
          <w:rFonts w:ascii="Helvetica" w:hAnsi="Helvetica" w:cs="Arial"/>
          <w:sz w:val="20"/>
          <w:lang w:val="lt-LT"/>
        </w:rPr>
        <w:t>gu</w:t>
      </w:r>
      <w:r w:rsidRPr="00196748">
        <w:rPr>
          <w:rFonts w:ascii="Helvetica" w:hAnsi="Helvetica" w:cs="Arial"/>
          <w:sz w:val="20"/>
          <w:lang w:val="lt-LT"/>
        </w:rPr>
        <w:t xml:space="preserve"> 1 % paciento naviką infiltruojančių limfocitų ląstelių </w:t>
      </w:r>
      <w:proofErr w:type="spellStart"/>
      <w:r w:rsidRPr="00196748">
        <w:rPr>
          <w:rFonts w:ascii="Helvetica" w:hAnsi="Helvetica" w:cs="Arial"/>
          <w:sz w:val="20"/>
          <w:lang w:val="lt-LT"/>
        </w:rPr>
        <w:t>ekspresuoja</w:t>
      </w:r>
      <w:proofErr w:type="spellEnd"/>
      <w:r w:rsidRPr="00196748">
        <w:rPr>
          <w:rFonts w:ascii="Helvetica" w:hAnsi="Helvetica" w:cs="Arial"/>
          <w:sz w:val="20"/>
          <w:lang w:val="lt-LT"/>
        </w:rPr>
        <w:t xml:space="preserve"> LAG-3 ir (arba)</w:t>
      </w:r>
    </w:p>
    <w:p w14:paraId="4A29A2A6" w14:textId="77777777"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kur paciento naviko ląstelėse yra BRAF V600 mutacija.</w:t>
      </w:r>
    </w:p>
    <w:p w14:paraId="6E5E6FB3" w14:textId="77777777" w:rsidR="00F322DE" w:rsidRPr="00196748" w:rsidRDefault="00F322DE" w:rsidP="00196748">
      <w:pPr>
        <w:spacing w:after="0" w:line="360" w:lineRule="auto"/>
        <w:jc w:val="both"/>
        <w:rPr>
          <w:rFonts w:ascii="Helvetica" w:hAnsi="Helvetica" w:cs="Arial"/>
          <w:sz w:val="20"/>
          <w:lang w:val="lt-LT"/>
        </w:rPr>
      </w:pPr>
    </w:p>
    <w:p w14:paraId="01870890" w14:textId="1AF69687"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7.</w:t>
      </w:r>
      <w:r w:rsidR="00F322DE" w:rsidRPr="00196748">
        <w:rPr>
          <w:rFonts w:ascii="Helvetica" w:hAnsi="Helvetica" w:cs="Arial"/>
          <w:sz w:val="20"/>
          <w:lang w:val="lt-LT"/>
        </w:rPr>
        <w:t xml:space="preserve"> </w:t>
      </w:r>
      <w:r w:rsidRPr="00196748">
        <w:rPr>
          <w:rFonts w:ascii="Helvetica" w:hAnsi="Helvetica" w:cs="Arial"/>
          <w:sz w:val="20"/>
          <w:lang w:val="lt-LT"/>
        </w:rPr>
        <w:t xml:space="preserve">Anti-LAG-3 antikūno arba anti-PD-1 antikūno derinys,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1–6 punktų,</w:t>
      </w:r>
    </w:p>
    <w:p w14:paraId="34603B54" w14:textId="7E76DCF2"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kur anti-LAG-3 antikūnas yra viso ilgio antikūnas</w:t>
      </w:r>
      <w:r w:rsidR="00F322DE" w:rsidRPr="00196748">
        <w:rPr>
          <w:rFonts w:ascii="Helvetica" w:hAnsi="Helvetica" w:cs="Arial"/>
          <w:sz w:val="20"/>
          <w:lang w:val="lt-LT"/>
        </w:rPr>
        <w:t>,</w:t>
      </w:r>
      <w:r w:rsidRPr="00196748">
        <w:rPr>
          <w:rFonts w:ascii="Helvetica" w:hAnsi="Helvetica" w:cs="Arial"/>
          <w:sz w:val="20"/>
          <w:lang w:val="lt-LT"/>
        </w:rPr>
        <w:t xml:space="preserve"> ir (arba) kur anti-PD-1 antikūnas yra viso ilgio antikūnas</w:t>
      </w:r>
      <w:r w:rsidR="00F322DE" w:rsidRPr="00196748">
        <w:rPr>
          <w:rFonts w:ascii="Helvetica" w:hAnsi="Helvetica" w:cs="Arial"/>
          <w:sz w:val="20"/>
          <w:lang w:val="lt-LT"/>
        </w:rPr>
        <w:t>,</w:t>
      </w:r>
      <w:r w:rsidRPr="00196748">
        <w:rPr>
          <w:rFonts w:ascii="Helvetica" w:hAnsi="Helvetica" w:cs="Arial"/>
          <w:sz w:val="20"/>
          <w:lang w:val="lt-LT"/>
        </w:rPr>
        <w:t xml:space="preserve"> ir (arba)</w:t>
      </w:r>
    </w:p>
    <w:p w14:paraId="6AD0D623" w14:textId="6D1491D5"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kur anti-LAG-3 antikūnas yra </w:t>
      </w:r>
      <w:proofErr w:type="spellStart"/>
      <w:r w:rsidRPr="00196748">
        <w:rPr>
          <w:rFonts w:ascii="Helvetica" w:hAnsi="Helvetica" w:cs="Arial"/>
          <w:sz w:val="20"/>
          <w:lang w:val="lt-LT"/>
        </w:rPr>
        <w:t>monokloninis</w:t>
      </w:r>
      <w:proofErr w:type="spellEnd"/>
      <w:r w:rsidRPr="00196748">
        <w:rPr>
          <w:rFonts w:ascii="Helvetica" w:hAnsi="Helvetica" w:cs="Arial"/>
          <w:sz w:val="20"/>
          <w:lang w:val="lt-LT"/>
        </w:rPr>
        <w:t xml:space="preserve">, žmogaus, humanizuotas, chimerinis arba </w:t>
      </w:r>
      <w:proofErr w:type="spellStart"/>
      <w:r w:rsidR="00F322DE" w:rsidRPr="00196748">
        <w:rPr>
          <w:rFonts w:ascii="Helvetica" w:hAnsi="Helvetica" w:cs="Arial"/>
          <w:sz w:val="20"/>
          <w:lang w:val="lt-LT"/>
        </w:rPr>
        <w:t>daugias</w:t>
      </w:r>
      <w:r w:rsidRPr="00196748">
        <w:rPr>
          <w:rFonts w:ascii="Helvetica" w:hAnsi="Helvetica" w:cs="Arial"/>
          <w:sz w:val="20"/>
          <w:lang w:val="lt-LT"/>
        </w:rPr>
        <w:t>pecifinis</w:t>
      </w:r>
      <w:proofErr w:type="spellEnd"/>
      <w:r w:rsidRPr="00196748">
        <w:rPr>
          <w:rFonts w:ascii="Helvetica" w:hAnsi="Helvetica" w:cs="Arial"/>
          <w:sz w:val="20"/>
          <w:lang w:val="lt-LT"/>
        </w:rPr>
        <w:t xml:space="preserve"> antikūnas</w:t>
      </w:r>
      <w:r w:rsidR="00F322DE" w:rsidRPr="00196748">
        <w:rPr>
          <w:rFonts w:ascii="Helvetica" w:hAnsi="Helvetica" w:cs="Arial"/>
          <w:sz w:val="20"/>
          <w:lang w:val="lt-LT"/>
        </w:rPr>
        <w:t>,</w:t>
      </w:r>
      <w:r w:rsidRPr="00196748">
        <w:rPr>
          <w:rFonts w:ascii="Helvetica" w:hAnsi="Helvetica" w:cs="Arial"/>
          <w:sz w:val="20"/>
          <w:lang w:val="lt-LT"/>
        </w:rPr>
        <w:t xml:space="preserve"> ir (arba)</w:t>
      </w:r>
    </w:p>
    <w:p w14:paraId="68B3F323" w14:textId="747FFCDD"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kur anti-PD-1 antikūnas yra </w:t>
      </w:r>
      <w:proofErr w:type="spellStart"/>
      <w:r w:rsidRPr="00196748">
        <w:rPr>
          <w:rFonts w:ascii="Helvetica" w:hAnsi="Helvetica" w:cs="Arial"/>
          <w:sz w:val="20"/>
          <w:lang w:val="lt-LT"/>
        </w:rPr>
        <w:t>monokloninis</w:t>
      </w:r>
      <w:proofErr w:type="spellEnd"/>
      <w:r w:rsidRPr="00196748">
        <w:rPr>
          <w:rFonts w:ascii="Helvetica" w:hAnsi="Helvetica" w:cs="Arial"/>
          <w:sz w:val="20"/>
          <w:lang w:val="lt-LT"/>
        </w:rPr>
        <w:t xml:space="preserve">, žmogaus, humanizuotas, chimerinis arba </w:t>
      </w:r>
      <w:proofErr w:type="spellStart"/>
      <w:r w:rsidR="00F322DE" w:rsidRPr="00196748">
        <w:rPr>
          <w:rFonts w:ascii="Helvetica" w:hAnsi="Helvetica" w:cs="Arial"/>
          <w:sz w:val="20"/>
          <w:lang w:val="lt-LT"/>
        </w:rPr>
        <w:t>daugiaspecifinis</w:t>
      </w:r>
      <w:proofErr w:type="spellEnd"/>
      <w:r w:rsidRPr="00196748">
        <w:rPr>
          <w:rFonts w:ascii="Helvetica" w:hAnsi="Helvetica" w:cs="Arial"/>
          <w:sz w:val="20"/>
          <w:lang w:val="lt-LT"/>
        </w:rPr>
        <w:t xml:space="preserve"> antikūnas ir (arba)</w:t>
      </w:r>
    </w:p>
    <w:p w14:paraId="5A837608" w14:textId="7A2EDBED"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kur anti-LAG-3 antikūnas yra </w:t>
      </w:r>
      <w:proofErr w:type="spellStart"/>
      <w:r w:rsidR="00F322DE" w:rsidRPr="00196748">
        <w:rPr>
          <w:rFonts w:ascii="Helvetica" w:hAnsi="Helvetica" w:cs="Arial"/>
          <w:sz w:val="20"/>
          <w:lang w:val="lt-LT"/>
        </w:rPr>
        <w:t>daugiaspecifinis</w:t>
      </w:r>
      <w:proofErr w:type="spellEnd"/>
      <w:r w:rsidRPr="00196748">
        <w:rPr>
          <w:rFonts w:ascii="Helvetica" w:hAnsi="Helvetica" w:cs="Arial"/>
          <w:sz w:val="20"/>
          <w:lang w:val="lt-LT"/>
        </w:rPr>
        <w:t xml:space="preserve"> antikūnas, kuris yra dvigubo </w:t>
      </w:r>
      <w:r w:rsidR="00F322DE" w:rsidRPr="00196748">
        <w:rPr>
          <w:rFonts w:ascii="Helvetica" w:hAnsi="Helvetica" w:cs="Arial"/>
          <w:sz w:val="20"/>
          <w:lang w:val="lt-LT"/>
        </w:rPr>
        <w:t>giminingumo</w:t>
      </w:r>
      <w:r w:rsidRPr="00196748">
        <w:rPr>
          <w:rFonts w:ascii="Helvetica" w:hAnsi="Helvetica" w:cs="Arial"/>
          <w:sz w:val="20"/>
          <w:lang w:val="lt-LT"/>
        </w:rPr>
        <w:t xml:space="preserve"> </w:t>
      </w:r>
      <w:r w:rsidR="00AF0BF4" w:rsidRPr="00196748">
        <w:rPr>
          <w:rFonts w:ascii="Helvetica" w:hAnsi="Helvetica" w:cs="Arial"/>
          <w:sz w:val="20"/>
          <w:lang w:val="lt-LT"/>
        </w:rPr>
        <w:t>persiorientuojantis</w:t>
      </w:r>
      <w:r w:rsidRPr="00196748">
        <w:rPr>
          <w:rFonts w:ascii="Helvetica" w:hAnsi="Helvetica" w:cs="Arial"/>
          <w:sz w:val="20"/>
          <w:lang w:val="lt-LT"/>
        </w:rPr>
        <w:t xml:space="preserve"> antikūnas (DART), DVD-</w:t>
      </w:r>
      <w:proofErr w:type="spellStart"/>
      <w:r w:rsidRPr="00196748">
        <w:rPr>
          <w:rFonts w:ascii="Helvetica" w:hAnsi="Helvetica" w:cs="Arial"/>
          <w:sz w:val="20"/>
          <w:lang w:val="lt-LT"/>
        </w:rPr>
        <w:t>Ig</w:t>
      </w:r>
      <w:proofErr w:type="spellEnd"/>
      <w:r w:rsidRPr="00196748">
        <w:rPr>
          <w:rFonts w:ascii="Helvetica" w:hAnsi="Helvetica" w:cs="Arial"/>
          <w:sz w:val="20"/>
          <w:lang w:val="lt-LT"/>
        </w:rPr>
        <w:t xml:space="preserve"> arba </w:t>
      </w:r>
      <w:proofErr w:type="spellStart"/>
      <w:r w:rsidRPr="00196748">
        <w:rPr>
          <w:rFonts w:ascii="Helvetica" w:hAnsi="Helvetica" w:cs="Arial"/>
          <w:sz w:val="20"/>
          <w:lang w:val="lt-LT"/>
        </w:rPr>
        <w:t>bispecifinis</w:t>
      </w:r>
      <w:proofErr w:type="spellEnd"/>
      <w:r w:rsidRPr="00196748">
        <w:rPr>
          <w:rFonts w:ascii="Helvetica" w:hAnsi="Helvetica" w:cs="Arial"/>
          <w:sz w:val="20"/>
          <w:lang w:val="lt-LT"/>
        </w:rPr>
        <w:t xml:space="preserve"> antikūnas, ir (arba)</w:t>
      </w:r>
    </w:p>
    <w:p w14:paraId="0053F577" w14:textId="77777777"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kur anti-PD-1 antikūnas yra </w:t>
      </w:r>
      <w:proofErr w:type="spellStart"/>
      <w:r w:rsidRPr="00196748">
        <w:rPr>
          <w:rFonts w:ascii="Helvetica" w:hAnsi="Helvetica" w:cs="Arial"/>
          <w:sz w:val="20"/>
          <w:lang w:val="lt-LT"/>
        </w:rPr>
        <w:t>bispecifinis</w:t>
      </w:r>
      <w:proofErr w:type="spellEnd"/>
      <w:r w:rsidRPr="00196748">
        <w:rPr>
          <w:rFonts w:ascii="Helvetica" w:hAnsi="Helvetica" w:cs="Arial"/>
          <w:sz w:val="20"/>
          <w:lang w:val="lt-LT"/>
        </w:rPr>
        <w:t xml:space="preserve"> antikūnas.</w:t>
      </w:r>
    </w:p>
    <w:p w14:paraId="179BC73F" w14:textId="77777777" w:rsidR="00AF0BF4" w:rsidRPr="00196748" w:rsidRDefault="00AF0BF4" w:rsidP="00196748">
      <w:pPr>
        <w:spacing w:after="0" w:line="360" w:lineRule="auto"/>
        <w:jc w:val="both"/>
        <w:rPr>
          <w:rFonts w:ascii="Helvetica" w:hAnsi="Helvetica" w:cs="Arial"/>
          <w:sz w:val="20"/>
          <w:lang w:val="lt-LT"/>
        </w:rPr>
      </w:pPr>
    </w:p>
    <w:p w14:paraId="2E43E4B7" w14:textId="5A909F64"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8.</w:t>
      </w:r>
      <w:r w:rsidR="00AF0BF4" w:rsidRPr="00196748">
        <w:rPr>
          <w:rFonts w:ascii="Helvetica" w:hAnsi="Helvetica" w:cs="Arial"/>
          <w:sz w:val="20"/>
          <w:lang w:val="lt-LT"/>
        </w:rPr>
        <w:t xml:space="preserve"> </w:t>
      </w:r>
      <w:r w:rsidRPr="00196748">
        <w:rPr>
          <w:rFonts w:ascii="Helvetica" w:hAnsi="Helvetica" w:cs="Arial"/>
          <w:sz w:val="20"/>
          <w:lang w:val="lt-LT"/>
        </w:rPr>
        <w:t xml:space="preserve">Anti-LAG-3 antikūno arba anti-PD-1 antikūno derinys,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1–7 punktų,</w:t>
      </w:r>
    </w:p>
    <w:p w14:paraId="7DAA0290" w14:textId="2CBA3485"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kur anti-LAG-3 antikūnas ir anti-PD-1 antikūnas yra su</w:t>
      </w:r>
      <w:r w:rsidR="00AF0BF4" w:rsidRPr="00196748">
        <w:rPr>
          <w:rFonts w:ascii="Helvetica" w:hAnsi="Helvetica" w:cs="Arial"/>
          <w:sz w:val="20"/>
          <w:lang w:val="lt-LT"/>
        </w:rPr>
        <w:t>komponuoti</w:t>
      </w:r>
      <w:r w:rsidRPr="00196748">
        <w:rPr>
          <w:rFonts w:ascii="Helvetica" w:hAnsi="Helvetica" w:cs="Arial"/>
          <w:sz w:val="20"/>
          <w:lang w:val="lt-LT"/>
        </w:rPr>
        <w:t xml:space="preserve"> </w:t>
      </w:r>
      <w:proofErr w:type="spellStart"/>
      <w:r w:rsidRPr="00196748">
        <w:rPr>
          <w:rFonts w:ascii="Helvetica" w:hAnsi="Helvetica" w:cs="Arial"/>
          <w:sz w:val="20"/>
          <w:lang w:val="lt-LT"/>
        </w:rPr>
        <w:t>parenteraliniam</w:t>
      </w:r>
      <w:proofErr w:type="spellEnd"/>
      <w:r w:rsidRPr="00196748">
        <w:rPr>
          <w:rFonts w:ascii="Helvetica" w:hAnsi="Helvetica" w:cs="Arial"/>
          <w:sz w:val="20"/>
          <w:lang w:val="lt-LT"/>
        </w:rPr>
        <w:t xml:space="preserve"> vartojimui,</w:t>
      </w:r>
    </w:p>
    <w:p w14:paraId="7E315674" w14:textId="56ADE1A0"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pasirinktinai, kur anti-LAG-3 antikūnas ir anti-PD-1 antikūnas yra </w:t>
      </w:r>
      <w:r w:rsidR="00AF0BF4" w:rsidRPr="00196748">
        <w:rPr>
          <w:rFonts w:ascii="Helvetica" w:hAnsi="Helvetica" w:cs="Arial"/>
          <w:sz w:val="20"/>
          <w:lang w:val="lt-LT"/>
        </w:rPr>
        <w:t>sukomponuoti</w:t>
      </w:r>
      <w:r w:rsidRPr="00196748">
        <w:rPr>
          <w:rFonts w:ascii="Helvetica" w:hAnsi="Helvetica" w:cs="Arial"/>
          <w:sz w:val="20"/>
          <w:lang w:val="lt-LT"/>
        </w:rPr>
        <w:t xml:space="preserve"> intraveniniam, </w:t>
      </w:r>
      <w:proofErr w:type="spellStart"/>
      <w:r w:rsidRPr="00196748">
        <w:rPr>
          <w:rFonts w:ascii="Helvetica" w:hAnsi="Helvetica" w:cs="Arial"/>
          <w:sz w:val="20"/>
          <w:lang w:val="lt-LT"/>
        </w:rPr>
        <w:t>intraperitoniniam</w:t>
      </w:r>
      <w:proofErr w:type="spellEnd"/>
      <w:r w:rsidR="00AF0BF4" w:rsidRPr="00196748">
        <w:rPr>
          <w:rFonts w:ascii="Helvetica" w:hAnsi="Helvetica" w:cs="Arial"/>
          <w:sz w:val="20"/>
          <w:lang w:val="lt-LT"/>
        </w:rPr>
        <w:t xml:space="preserve"> vartojimui</w:t>
      </w:r>
      <w:r w:rsidRPr="00196748">
        <w:rPr>
          <w:rFonts w:ascii="Helvetica" w:hAnsi="Helvetica" w:cs="Arial"/>
          <w:sz w:val="20"/>
          <w:lang w:val="lt-LT"/>
        </w:rPr>
        <w:t xml:space="preserve">, </w:t>
      </w:r>
      <w:r w:rsidR="00AF0BF4" w:rsidRPr="00196748">
        <w:rPr>
          <w:rFonts w:ascii="Helvetica" w:hAnsi="Helvetica" w:cs="Arial"/>
          <w:sz w:val="20"/>
          <w:lang w:val="lt-LT"/>
        </w:rPr>
        <w:t>vartojimui į raumenis</w:t>
      </w:r>
      <w:r w:rsidRPr="00196748">
        <w:rPr>
          <w:rFonts w:ascii="Helvetica" w:hAnsi="Helvetica" w:cs="Arial"/>
          <w:sz w:val="20"/>
          <w:lang w:val="lt-LT"/>
        </w:rPr>
        <w:t xml:space="preserve">, </w:t>
      </w:r>
      <w:proofErr w:type="spellStart"/>
      <w:r w:rsidRPr="00196748">
        <w:rPr>
          <w:rFonts w:ascii="Helvetica" w:hAnsi="Helvetica" w:cs="Arial"/>
          <w:sz w:val="20"/>
          <w:lang w:val="lt-LT"/>
        </w:rPr>
        <w:t>intratekaliniam</w:t>
      </w:r>
      <w:proofErr w:type="spellEnd"/>
      <w:r w:rsidRPr="00196748">
        <w:rPr>
          <w:rFonts w:ascii="Helvetica" w:hAnsi="Helvetica" w:cs="Arial"/>
          <w:sz w:val="20"/>
          <w:lang w:val="lt-LT"/>
        </w:rPr>
        <w:t xml:space="preserve"> arba poodiniam vartojimui, arba</w:t>
      </w:r>
    </w:p>
    <w:p w14:paraId="45CEA1FE" w14:textId="7ED1B6E2"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kur anti-LAG-3 antikūnas ir anti-PD-1 antikūnas yra </w:t>
      </w:r>
      <w:r w:rsidR="00AF0BF4" w:rsidRPr="00196748">
        <w:rPr>
          <w:rFonts w:ascii="Helvetica" w:hAnsi="Helvetica" w:cs="Arial"/>
          <w:sz w:val="20"/>
          <w:lang w:val="lt-LT"/>
        </w:rPr>
        <w:t>sukomponuoti</w:t>
      </w:r>
      <w:r w:rsidRPr="00196748">
        <w:rPr>
          <w:rFonts w:ascii="Helvetica" w:hAnsi="Helvetica" w:cs="Arial"/>
          <w:sz w:val="20"/>
          <w:lang w:val="lt-LT"/>
        </w:rPr>
        <w:t xml:space="preserve"> kartu, arba</w:t>
      </w:r>
    </w:p>
    <w:p w14:paraId="23295EDF" w14:textId="1F1099FC"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kur anti-LAG-3 antikūnas ir anti-PD-1 antikūnas yra </w:t>
      </w:r>
      <w:r w:rsidR="00AF0BF4" w:rsidRPr="00196748">
        <w:rPr>
          <w:rFonts w:ascii="Helvetica" w:hAnsi="Helvetica" w:cs="Arial"/>
          <w:sz w:val="20"/>
          <w:lang w:val="lt-LT"/>
        </w:rPr>
        <w:t>sukomponuoti</w:t>
      </w:r>
      <w:r w:rsidRPr="00196748">
        <w:rPr>
          <w:rFonts w:ascii="Helvetica" w:hAnsi="Helvetica" w:cs="Arial"/>
          <w:sz w:val="20"/>
          <w:lang w:val="lt-LT"/>
        </w:rPr>
        <w:t xml:space="preserve"> atskirai.</w:t>
      </w:r>
    </w:p>
    <w:p w14:paraId="4657B05C" w14:textId="43685471" w:rsidR="00AF0BF4" w:rsidRPr="00196748" w:rsidRDefault="00AF0BF4" w:rsidP="00196748">
      <w:pPr>
        <w:tabs>
          <w:tab w:val="left" w:pos="2856"/>
        </w:tabs>
        <w:spacing w:after="0" w:line="360" w:lineRule="auto"/>
        <w:jc w:val="both"/>
        <w:rPr>
          <w:rFonts w:ascii="Helvetica" w:hAnsi="Helvetica" w:cs="Arial"/>
          <w:sz w:val="20"/>
          <w:lang w:val="lt-LT"/>
        </w:rPr>
      </w:pPr>
    </w:p>
    <w:p w14:paraId="4CA770DD" w14:textId="0B7DB49B"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9.</w:t>
      </w:r>
      <w:r w:rsidR="00AF0BF4" w:rsidRPr="00196748">
        <w:rPr>
          <w:rFonts w:ascii="Helvetica" w:hAnsi="Helvetica" w:cs="Arial"/>
          <w:sz w:val="20"/>
          <w:lang w:val="lt-LT"/>
        </w:rPr>
        <w:t xml:space="preserve"> </w:t>
      </w:r>
      <w:r w:rsidRPr="00196748">
        <w:rPr>
          <w:rFonts w:ascii="Helvetica" w:hAnsi="Helvetica" w:cs="Arial"/>
          <w:sz w:val="20"/>
          <w:lang w:val="lt-LT"/>
        </w:rPr>
        <w:t xml:space="preserve">Anti-LAG-3 antikūno arba anti-PD-1 antikūno derinys,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1–8 punktų, k</w:t>
      </w:r>
      <w:r w:rsidR="00AF0BF4" w:rsidRPr="00196748">
        <w:rPr>
          <w:rFonts w:ascii="Helvetica" w:hAnsi="Helvetica" w:cs="Arial"/>
          <w:sz w:val="20"/>
          <w:lang w:val="lt-LT"/>
        </w:rPr>
        <w:t>ur bū</w:t>
      </w:r>
      <w:r w:rsidRPr="00196748">
        <w:rPr>
          <w:rFonts w:ascii="Helvetica" w:hAnsi="Helvetica" w:cs="Arial"/>
          <w:sz w:val="20"/>
          <w:lang w:val="lt-LT"/>
        </w:rPr>
        <w:t>das apima:</w:t>
      </w:r>
    </w:p>
    <w:p w14:paraId="4EA19DC9" w14:textId="464336FF"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(a) LAG-3 ekspresijos nustatym</w:t>
      </w:r>
      <w:r w:rsidR="00AF0BF4" w:rsidRPr="00196748">
        <w:rPr>
          <w:rFonts w:ascii="Helvetica" w:hAnsi="Helvetica" w:cs="Arial"/>
          <w:sz w:val="20"/>
          <w:lang w:val="lt-LT"/>
        </w:rPr>
        <w:t>ą</w:t>
      </w:r>
      <w:r w:rsidRPr="00196748">
        <w:rPr>
          <w:rFonts w:ascii="Helvetica" w:hAnsi="Helvetica" w:cs="Arial"/>
          <w:sz w:val="20"/>
          <w:lang w:val="lt-LT"/>
        </w:rPr>
        <w:t xml:space="preserve"> paciento naviką infiltruojančiuose limfocituose, PD-L1 ekspresijos nustatym</w:t>
      </w:r>
      <w:r w:rsidR="00AF0BF4" w:rsidRPr="00196748">
        <w:rPr>
          <w:rFonts w:ascii="Helvetica" w:hAnsi="Helvetica" w:cs="Arial"/>
          <w:sz w:val="20"/>
          <w:lang w:val="lt-LT"/>
        </w:rPr>
        <w:t>ą</w:t>
      </w:r>
      <w:r w:rsidRPr="00196748">
        <w:rPr>
          <w:rFonts w:ascii="Helvetica" w:hAnsi="Helvetica" w:cs="Arial"/>
          <w:sz w:val="20"/>
          <w:lang w:val="lt-LT"/>
        </w:rPr>
        <w:t xml:space="preserve"> paciento naviko ląstelėse ir (arba) BRAF V600 mutacijos buvimo nustatym</w:t>
      </w:r>
      <w:r w:rsidR="00AF0BF4" w:rsidRPr="00196748">
        <w:rPr>
          <w:rFonts w:ascii="Helvetica" w:hAnsi="Helvetica" w:cs="Arial"/>
          <w:sz w:val="20"/>
          <w:lang w:val="lt-LT"/>
        </w:rPr>
        <w:t>ą</w:t>
      </w:r>
      <w:r w:rsidRPr="00196748">
        <w:rPr>
          <w:rFonts w:ascii="Helvetica" w:hAnsi="Helvetica" w:cs="Arial"/>
          <w:sz w:val="20"/>
          <w:lang w:val="lt-LT"/>
        </w:rPr>
        <w:t xml:space="preserve"> paciento naviko ląstelėse; ir</w:t>
      </w:r>
    </w:p>
    <w:p w14:paraId="292EF725" w14:textId="6F75D7A1" w:rsidR="009A005C" w:rsidRPr="00196748" w:rsidRDefault="009A005C" w:rsidP="00196748">
      <w:pPr>
        <w:tabs>
          <w:tab w:val="left" w:pos="7428"/>
        </w:tabs>
        <w:spacing w:after="0" w:line="360" w:lineRule="auto"/>
        <w:jc w:val="both"/>
        <w:rPr>
          <w:rFonts w:ascii="Helvetica" w:hAnsi="Helvetica" w:cs="Arial"/>
          <w:sz w:val="20"/>
          <w:lang w:val="lt-LT"/>
        </w:rPr>
      </w:pPr>
      <w:r w:rsidRPr="00196748">
        <w:rPr>
          <w:rFonts w:ascii="Helvetica" w:hAnsi="Helvetica" w:cs="Arial"/>
          <w:sz w:val="20"/>
          <w:lang w:val="lt-LT"/>
        </w:rPr>
        <w:t>(b) anti-LAG-3 antikūn</w:t>
      </w:r>
      <w:r w:rsidR="00AF0BF4" w:rsidRPr="00196748">
        <w:rPr>
          <w:rFonts w:ascii="Helvetica" w:hAnsi="Helvetica" w:cs="Arial"/>
          <w:sz w:val="20"/>
          <w:lang w:val="lt-LT"/>
        </w:rPr>
        <w:t>o</w:t>
      </w:r>
      <w:r w:rsidRPr="00196748">
        <w:rPr>
          <w:rFonts w:ascii="Helvetica" w:hAnsi="Helvetica" w:cs="Arial"/>
          <w:sz w:val="20"/>
          <w:lang w:val="lt-LT"/>
        </w:rPr>
        <w:t xml:space="preserve"> ir anti-PD-1 antikūn</w:t>
      </w:r>
      <w:r w:rsidR="00AF0BF4" w:rsidRPr="00196748">
        <w:rPr>
          <w:rFonts w:ascii="Helvetica" w:hAnsi="Helvetica" w:cs="Arial"/>
          <w:sz w:val="20"/>
          <w:lang w:val="lt-LT"/>
        </w:rPr>
        <w:t>o įvedimą pacientui</w:t>
      </w:r>
      <w:r w:rsidRPr="00196748">
        <w:rPr>
          <w:rFonts w:ascii="Helvetica" w:hAnsi="Helvetica" w:cs="Arial"/>
          <w:sz w:val="20"/>
          <w:lang w:val="lt-LT"/>
        </w:rPr>
        <w:t>.</w:t>
      </w:r>
    </w:p>
    <w:p w14:paraId="2D8BA5E5" w14:textId="77777777" w:rsidR="00AF0BF4" w:rsidRPr="00196748" w:rsidRDefault="00AF0BF4" w:rsidP="00196748">
      <w:pPr>
        <w:spacing w:after="0" w:line="360" w:lineRule="auto"/>
        <w:jc w:val="both"/>
        <w:rPr>
          <w:rFonts w:ascii="Helvetica" w:hAnsi="Helvetica" w:cs="Arial"/>
          <w:sz w:val="20"/>
          <w:lang w:val="lt-LT"/>
        </w:rPr>
      </w:pPr>
    </w:p>
    <w:p w14:paraId="5E3F57E6" w14:textId="18A5C085"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10.</w:t>
      </w:r>
      <w:r w:rsidR="00AF0BF4" w:rsidRPr="00196748">
        <w:rPr>
          <w:rFonts w:ascii="Helvetica" w:hAnsi="Helvetica" w:cs="Arial"/>
          <w:sz w:val="20"/>
          <w:lang w:val="lt-LT"/>
        </w:rPr>
        <w:t xml:space="preserve"> </w:t>
      </w:r>
      <w:r w:rsidRPr="00196748">
        <w:rPr>
          <w:rFonts w:ascii="Helvetica" w:hAnsi="Helvetica" w:cs="Arial"/>
          <w:sz w:val="20"/>
          <w:lang w:val="lt-LT"/>
        </w:rPr>
        <w:t xml:space="preserve">Anti-LAG-3 antikūno arba anti-PD-1 antikūno derinys,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1–8 punktų, </w:t>
      </w:r>
      <w:r w:rsidR="00F82DD9" w:rsidRPr="00196748">
        <w:rPr>
          <w:rFonts w:ascii="Helvetica" w:hAnsi="Helvetica" w:cs="Arial"/>
          <w:sz w:val="20"/>
          <w:lang w:val="lt-LT"/>
        </w:rPr>
        <w:t>kur būdas apima</w:t>
      </w:r>
      <w:r w:rsidRPr="00196748">
        <w:rPr>
          <w:rFonts w:ascii="Helvetica" w:hAnsi="Helvetica" w:cs="Arial"/>
          <w:sz w:val="20"/>
          <w:lang w:val="lt-LT"/>
        </w:rPr>
        <w:t>:</w:t>
      </w:r>
    </w:p>
    <w:p w14:paraId="3F1C099E" w14:textId="17308FFC"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(a) LAG-3 ekspresijos lyg</w:t>
      </w:r>
      <w:r w:rsidR="00F82DD9" w:rsidRPr="00196748">
        <w:rPr>
          <w:rFonts w:ascii="Helvetica" w:hAnsi="Helvetica" w:cs="Arial"/>
          <w:sz w:val="20"/>
          <w:lang w:val="lt-LT"/>
        </w:rPr>
        <w:t>io</w:t>
      </w:r>
      <w:r w:rsidRPr="00196748">
        <w:rPr>
          <w:rFonts w:ascii="Helvetica" w:hAnsi="Helvetica" w:cs="Arial"/>
          <w:sz w:val="20"/>
          <w:lang w:val="lt-LT"/>
        </w:rPr>
        <w:t xml:space="preserve"> arba LAG-3 ir PD-L1 ekspresijos lyg</w:t>
      </w:r>
      <w:r w:rsidR="00F82DD9" w:rsidRPr="00196748">
        <w:rPr>
          <w:rFonts w:ascii="Helvetica" w:hAnsi="Helvetica" w:cs="Arial"/>
          <w:sz w:val="20"/>
          <w:lang w:val="lt-LT"/>
        </w:rPr>
        <w:t>io nustatymą</w:t>
      </w:r>
      <w:r w:rsidRPr="00196748">
        <w:rPr>
          <w:rFonts w:ascii="Helvetica" w:hAnsi="Helvetica" w:cs="Arial"/>
          <w:sz w:val="20"/>
          <w:lang w:val="lt-LT"/>
        </w:rPr>
        <w:t xml:space="preserve"> naviko mėginyje, pasirinktinai naviko ląstelių, </w:t>
      </w:r>
      <w:proofErr w:type="spellStart"/>
      <w:r w:rsidRPr="00196748">
        <w:rPr>
          <w:rFonts w:ascii="Helvetica" w:hAnsi="Helvetica" w:cs="Arial"/>
          <w:sz w:val="20"/>
          <w:lang w:val="lt-LT"/>
        </w:rPr>
        <w:t>ekspresuojančių</w:t>
      </w:r>
      <w:proofErr w:type="spellEnd"/>
      <w:r w:rsidRPr="00196748">
        <w:rPr>
          <w:rFonts w:ascii="Helvetica" w:hAnsi="Helvetica" w:cs="Arial"/>
          <w:sz w:val="20"/>
          <w:lang w:val="lt-LT"/>
        </w:rPr>
        <w:t xml:space="preserve"> BRAF V600 mutaciją, buvim</w:t>
      </w:r>
      <w:r w:rsidR="00F82DD9" w:rsidRPr="00196748">
        <w:rPr>
          <w:rFonts w:ascii="Helvetica" w:hAnsi="Helvetica" w:cs="Arial"/>
          <w:sz w:val="20"/>
          <w:lang w:val="lt-LT"/>
        </w:rPr>
        <w:t>o nustatymą,</w:t>
      </w:r>
      <w:r w:rsidRPr="00196748">
        <w:rPr>
          <w:rFonts w:ascii="Helvetica" w:hAnsi="Helvetica" w:cs="Arial"/>
          <w:sz w:val="20"/>
          <w:lang w:val="lt-LT"/>
        </w:rPr>
        <w:t xml:space="preserve"> ir</w:t>
      </w:r>
    </w:p>
    <w:p w14:paraId="31A9BDED" w14:textId="5461BDC5"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(b) </w:t>
      </w:r>
      <w:r w:rsidR="00F82DD9" w:rsidRPr="00196748">
        <w:rPr>
          <w:rFonts w:ascii="Helvetica" w:hAnsi="Helvetica" w:cs="Arial"/>
          <w:sz w:val="20"/>
          <w:lang w:val="lt-LT"/>
        </w:rPr>
        <w:t>anti-LAG-3 antikūno ir anti-PD-1 antikūno įvedimą pacientui</w:t>
      </w:r>
      <w:r w:rsidRPr="00196748">
        <w:rPr>
          <w:rFonts w:ascii="Helvetica" w:hAnsi="Helvetica" w:cs="Arial"/>
          <w:sz w:val="20"/>
          <w:lang w:val="lt-LT"/>
        </w:rPr>
        <w:t>.</w:t>
      </w:r>
    </w:p>
    <w:p w14:paraId="2AF08D2E" w14:textId="77777777" w:rsidR="00F82DD9" w:rsidRPr="00196748" w:rsidRDefault="00F82DD9" w:rsidP="00196748">
      <w:pPr>
        <w:spacing w:after="0" w:line="360" w:lineRule="auto"/>
        <w:jc w:val="both"/>
        <w:rPr>
          <w:rFonts w:ascii="Helvetica" w:hAnsi="Helvetica" w:cs="Arial"/>
          <w:sz w:val="20"/>
          <w:lang w:val="lt-LT"/>
        </w:rPr>
      </w:pPr>
    </w:p>
    <w:p w14:paraId="32650A10" w14:textId="632E7DCE"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11.</w:t>
      </w:r>
      <w:r w:rsidR="00F82DD9" w:rsidRPr="00196748">
        <w:rPr>
          <w:rFonts w:ascii="Helvetica" w:hAnsi="Helvetica" w:cs="Arial"/>
          <w:sz w:val="20"/>
          <w:lang w:val="lt-LT"/>
        </w:rPr>
        <w:t xml:space="preserve"> </w:t>
      </w:r>
      <w:r w:rsidRPr="00196748">
        <w:rPr>
          <w:rFonts w:ascii="Helvetica" w:hAnsi="Helvetica" w:cs="Arial"/>
          <w:sz w:val="20"/>
          <w:lang w:val="lt-LT"/>
        </w:rPr>
        <w:t xml:space="preserve">Anti-LAG-3 antikūno arba anti-PD-1 antikūno derinys,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1–10 punktų, kur anti-LAG-3 antikūnas apima:</w:t>
      </w:r>
    </w:p>
    <w:p w14:paraId="693FE818" w14:textId="77777777"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(a) </w:t>
      </w:r>
      <w:proofErr w:type="spellStart"/>
      <w:r w:rsidRPr="00196748">
        <w:rPr>
          <w:rFonts w:ascii="Helvetica" w:hAnsi="Helvetica" w:cs="Arial"/>
          <w:sz w:val="20"/>
          <w:lang w:val="lt-LT"/>
        </w:rPr>
        <w:t>relatlimabą</w:t>
      </w:r>
      <w:proofErr w:type="spellEnd"/>
      <w:r w:rsidRPr="00196748">
        <w:rPr>
          <w:rFonts w:ascii="Helvetica" w:hAnsi="Helvetica" w:cs="Arial"/>
          <w:sz w:val="20"/>
          <w:lang w:val="lt-LT"/>
        </w:rPr>
        <w:t>,</w:t>
      </w:r>
    </w:p>
    <w:p w14:paraId="53B7CA38" w14:textId="64C7E904"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lastRenderedPageBreak/>
        <w:t>(b) sunkiosios grandinės kintamos srities CDR1, CDR2, CDR3 dome</w:t>
      </w:r>
      <w:r w:rsidR="00F82DD9" w:rsidRPr="00196748">
        <w:rPr>
          <w:rFonts w:ascii="Helvetica" w:hAnsi="Helvetica" w:cs="Arial"/>
          <w:sz w:val="20"/>
          <w:lang w:val="lt-LT"/>
        </w:rPr>
        <w:t>nus</w:t>
      </w:r>
      <w:r w:rsidRPr="00196748">
        <w:rPr>
          <w:rFonts w:ascii="Helvetica" w:hAnsi="Helvetica" w:cs="Arial"/>
          <w:sz w:val="20"/>
          <w:lang w:val="lt-LT"/>
        </w:rPr>
        <w:t>, apiman</w:t>
      </w:r>
      <w:r w:rsidR="00F82DD9" w:rsidRPr="00196748">
        <w:rPr>
          <w:rFonts w:ascii="Helvetica" w:hAnsi="Helvetica" w:cs="Arial"/>
          <w:sz w:val="20"/>
          <w:lang w:val="lt-LT"/>
        </w:rPr>
        <w:t>čius</w:t>
      </w:r>
      <w:r w:rsidRPr="00196748">
        <w:rPr>
          <w:rFonts w:ascii="Helvetica" w:hAnsi="Helvetica" w:cs="Arial"/>
          <w:sz w:val="20"/>
          <w:lang w:val="lt-LT"/>
        </w:rPr>
        <w:t xml:space="preserve"> seką, nurodytą atitinkamai </w:t>
      </w:r>
      <w:r w:rsidR="00F82DD9" w:rsidRPr="00196748">
        <w:rPr>
          <w:rFonts w:ascii="Helvetica" w:hAnsi="Helvetica" w:cs="Arial"/>
          <w:sz w:val="20"/>
          <w:lang w:val="lt-LT"/>
        </w:rPr>
        <w:t xml:space="preserve">kaip </w:t>
      </w:r>
      <w:r w:rsidRPr="00196748">
        <w:rPr>
          <w:rFonts w:ascii="Helvetica" w:hAnsi="Helvetica" w:cs="Arial"/>
          <w:sz w:val="20"/>
          <w:lang w:val="lt-LT"/>
        </w:rPr>
        <w:t>SEQ ID Nr. 7, 8 ir 9, ir lengvosios grandinės kintamos srities CDR1, CDR2, CDR3 domen</w:t>
      </w:r>
      <w:r w:rsidR="00F82DD9" w:rsidRPr="00196748">
        <w:rPr>
          <w:rFonts w:ascii="Helvetica" w:hAnsi="Helvetica" w:cs="Arial"/>
          <w:sz w:val="20"/>
          <w:lang w:val="lt-LT"/>
        </w:rPr>
        <w:t>us</w:t>
      </w:r>
      <w:r w:rsidRPr="00196748">
        <w:rPr>
          <w:rFonts w:ascii="Helvetica" w:hAnsi="Helvetica" w:cs="Arial"/>
          <w:sz w:val="20"/>
          <w:lang w:val="lt-LT"/>
        </w:rPr>
        <w:t>, apiman</w:t>
      </w:r>
      <w:r w:rsidR="00F82DD9" w:rsidRPr="00196748">
        <w:rPr>
          <w:rFonts w:ascii="Helvetica" w:hAnsi="Helvetica" w:cs="Arial"/>
          <w:sz w:val="20"/>
          <w:lang w:val="lt-LT"/>
        </w:rPr>
        <w:t>čius</w:t>
      </w:r>
      <w:r w:rsidRPr="00196748">
        <w:rPr>
          <w:rFonts w:ascii="Helvetica" w:hAnsi="Helvetica" w:cs="Arial"/>
          <w:sz w:val="20"/>
          <w:lang w:val="lt-LT"/>
        </w:rPr>
        <w:t xml:space="preserve"> seką, nurodytą atitinkamai SEQ ID Nr. 10, 11 ir 12;</w:t>
      </w:r>
    </w:p>
    <w:p w14:paraId="4CD59697" w14:textId="36DE7D9E"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(c) sunkiosios ir lengvosios grandinės kintam</w:t>
      </w:r>
      <w:r w:rsidR="00F82DD9" w:rsidRPr="00196748">
        <w:rPr>
          <w:rFonts w:ascii="Helvetica" w:hAnsi="Helvetica" w:cs="Arial"/>
          <w:sz w:val="20"/>
          <w:lang w:val="lt-LT"/>
        </w:rPr>
        <w:t>as sritis</w:t>
      </w:r>
      <w:r w:rsidRPr="00196748">
        <w:rPr>
          <w:rFonts w:ascii="Helvetica" w:hAnsi="Helvetica" w:cs="Arial"/>
          <w:sz w:val="20"/>
          <w:lang w:val="lt-LT"/>
        </w:rPr>
        <w:t>, apiman</w:t>
      </w:r>
      <w:r w:rsidR="00F82DD9" w:rsidRPr="00196748">
        <w:rPr>
          <w:rFonts w:ascii="Helvetica" w:hAnsi="Helvetica" w:cs="Arial"/>
          <w:sz w:val="20"/>
          <w:lang w:val="lt-LT"/>
        </w:rPr>
        <w:t>čias</w:t>
      </w:r>
      <w:r w:rsidRPr="00196748">
        <w:rPr>
          <w:rFonts w:ascii="Helvetica" w:hAnsi="Helvetica" w:cs="Arial"/>
          <w:sz w:val="20"/>
          <w:lang w:val="lt-LT"/>
        </w:rPr>
        <w:t xml:space="preserve"> sekas, nurodytas atitinkamai </w:t>
      </w:r>
      <w:r w:rsidR="00F82DD9" w:rsidRPr="00196748">
        <w:rPr>
          <w:rFonts w:ascii="Helvetica" w:hAnsi="Helvetica" w:cs="Arial"/>
          <w:sz w:val="20"/>
          <w:lang w:val="lt-LT"/>
        </w:rPr>
        <w:t xml:space="preserve">kaip </w:t>
      </w:r>
      <w:r w:rsidRPr="00196748">
        <w:rPr>
          <w:rFonts w:ascii="Helvetica" w:hAnsi="Helvetica" w:cs="Arial"/>
          <w:sz w:val="20"/>
          <w:lang w:val="lt-LT"/>
        </w:rPr>
        <w:t>SEQ ID N</w:t>
      </w:r>
      <w:r w:rsidR="00F82DD9" w:rsidRPr="00196748">
        <w:rPr>
          <w:rFonts w:ascii="Helvetica" w:hAnsi="Helvetica" w:cs="Arial"/>
          <w:sz w:val="20"/>
          <w:lang w:val="lt-LT"/>
        </w:rPr>
        <w:t xml:space="preserve">r. </w:t>
      </w:r>
      <w:r w:rsidRPr="00196748">
        <w:rPr>
          <w:rFonts w:ascii="Helvetica" w:hAnsi="Helvetica" w:cs="Arial"/>
          <w:sz w:val="20"/>
          <w:lang w:val="lt-LT"/>
        </w:rPr>
        <w:t>3 ir 5, arba</w:t>
      </w:r>
    </w:p>
    <w:p w14:paraId="38FF0D4D" w14:textId="217377E1"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(d) sunk</w:t>
      </w:r>
      <w:r w:rsidR="00F82DD9" w:rsidRPr="00196748">
        <w:rPr>
          <w:rFonts w:ascii="Helvetica" w:hAnsi="Helvetica" w:cs="Arial"/>
          <w:sz w:val="20"/>
          <w:lang w:val="lt-LT"/>
        </w:rPr>
        <w:t>iąją</w:t>
      </w:r>
      <w:r w:rsidRPr="00196748">
        <w:rPr>
          <w:rFonts w:ascii="Helvetica" w:hAnsi="Helvetica" w:cs="Arial"/>
          <w:sz w:val="20"/>
          <w:lang w:val="lt-LT"/>
        </w:rPr>
        <w:t xml:space="preserve"> ir lengv</w:t>
      </w:r>
      <w:r w:rsidR="00F82DD9" w:rsidRPr="00196748">
        <w:rPr>
          <w:rFonts w:ascii="Helvetica" w:hAnsi="Helvetica" w:cs="Arial"/>
          <w:sz w:val="20"/>
          <w:lang w:val="lt-LT"/>
        </w:rPr>
        <w:t>ąją</w:t>
      </w:r>
      <w:r w:rsidRPr="00196748">
        <w:rPr>
          <w:rFonts w:ascii="Helvetica" w:hAnsi="Helvetica" w:cs="Arial"/>
          <w:sz w:val="20"/>
          <w:lang w:val="lt-LT"/>
        </w:rPr>
        <w:t xml:space="preserve"> grandin</w:t>
      </w:r>
      <w:r w:rsidR="00F82DD9" w:rsidRPr="00196748">
        <w:rPr>
          <w:rFonts w:ascii="Helvetica" w:hAnsi="Helvetica" w:cs="Arial"/>
          <w:sz w:val="20"/>
          <w:lang w:val="lt-LT"/>
        </w:rPr>
        <w:t>e</w:t>
      </w:r>
      <w:r w:rsidRPr="00196748">
        <w:rPr>
          <w:rFonts w:ascii="Helvetica" w:hAnsi="Helvetica" w:cs="Arial"/>
          <w:sz w:val="20"/>
          <w:lang w:val="lt-LT"/>
        </w:rPr>
        <w:t>s, apimanči</w:t>
      </w:r>
      <w:r w:rsidR="00F82DD9" w:rsidRPr="00196748">
        <w:rPr>
          <w:rFonts w:ascii="Helvetica" w:hAnsi="Helvetica" w:cs="Arial"/>
          <w:sz w:val="20"/>
          <w:lang w:val="lt-LT"/>
        </w:rPr>
        <w:t>a</w:t>
      </w:r>
      <w:r w:rsidRPr="00196748">
        <w:rPr>
          <w:rFonts w:ascii="Helvetica" w:hAnsi="Helvetica" w:cs="Arial"/>
          <w:sz w:val="20"/>
          <w:lang w:val="lt-LT"/>
        </w:rPr>
        <w:t>s sekas, nurodytas atitinkamai</w:t>
      </w:r>
      <w:r w:rsidR="00F82DD9" w:rsidRPr="00196748">
        <w:rPr>
          <w:rFonts w:ascii="Helvetica" w:hAnsi="Helvetica" w:cs="Arial"/>
          <w:sz w:val="20"/>
          <w:lang w:val="lt-LT"/>
        </w:rPr>
        <w:t xml:space="preserve"> kaip</w:t>
      </w:r>
      <w:r w:rsidRPr="00196748">
        <w:rPr>
          <w:rFonts w:ascii="Helvetica" w:hAnsi="Helvetica" w:cs="Arial"/>
          <w:sz w:val="20"/>
          <w:lang w:val="lt-LT"/>
        </w:rPr>
        <w:t xml:space="preserve"> SEQ ID N</w:t>
      </w:r>
      <w:r w:rsidR="00F82DD9" w:rsidRPr="00196748">
        <w:rPr>
          <w:rFonts w:ascii="Helvetica" w:hAnsi="Helvetica" w:cs="Arial"/>
          <w:sz w:val="20"/>
          <w:lang w:val="lt-LT"/>
        </w:rPr>
        <w:t>r.</w:t>
      </w:r>
      <w:r w:rsidRPr="00196748">
        <w:rPr>
          <w:rFonts w:ascii="Helvetica" w:hAnsi="Helvetica" w:cs="Arial"/>
          <w:sz w:val="20"/>
          <w:lang w:val="lt-LT"/>
        </w:rPr>
        <w:t xml:space="preserve"> 1 ir 2.</w:t>
      </w:r>
    </w:p>
    <w:p w14:paraId="2B5FD1C2" w14:textId="77777777" w:rsidR="00F82DD9" w:rsidRPr="00196748" w:rsidRDefault="00F82DD9" w:rsidP="00196748">
      <w:pPr>
        <w:spacing w:after="0" w:line="360" w:lineRule="auto"/>
        <w:jc w:val="both"/>
        <w:rPr>
          <w:rFonts w:ascii="Helvetica" w:hAnsi="Helvetica" w:cs="Arial"/>
          <w:sz w:val="20"/>
          <w:lang w:val="lt-LT"/>
        </w:rPr>
      </w:pPr>
    </w:p>
    <w:p w14:paraId="03234ED7" w14:textId="2FD3888D" w:rsidR="009A005C" w:rsidRPr="00196748" w:rsidRDefault="009A005C" w:rsidP="00196748">
      <w:pPr>
        <w:spacing w:after="0" w:line="360" w:lineRule="auto"/>
        <w:ind w:firstLine="567"/>
        <w:jc w:val="both"/>
        <w:rPr>
          <w:rFonts w:ascii="Helvetica" w:hAnsi="Helvetica" w:cs="Arial"/>
          <w:sz w:val="20"/>
          <w:lang w:val="lt-LT"/>
        </w:rPr>
      </w:pPr>
      <w:r w:rsidRPr="00196748">
        <w:rPr>
          <w:rFonts w:ascii="Helvetica" w:hAnsi="Helvetica" w:cs="Arial"/>
          <w:sz w:val="20"/>
          <w:lang w:val="lt-LT"/>
        </w:rPr>
        <w:t>12.</w:t>
      </w:r>
      <w:r w:rsidR="00F82DD9" w:rsidRPr="00196748">
        <w:rPr>
          <w:rFonts w:ascii="Helvetica" w:hAnsi="Helvetica" w:cs="Arial"/>
          <w:sz w:val="20"/>
          <w:lang w:val="lt-LT"/>
        </w:rPr>
        <w:t xml:space="preserve"> </w:t>
      </w:r>
      <w:r w:rsidRPr="00196748">
        <w:rPr>
          <w:rFonts w:ascii="Helvetica" w:hAnsi="Helvetica" w:cs="Arial"/>
          <w:sz w:val="20"/>
          <w:lang w:val="lt-LT"/>
        </w:rPr>
        <w:t xml:space="preserve">Derinys, anti-LAG-3 antikūnas arba anti-PD-1 antikūnas,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1–11 punktų, kur anti-PD-1 antikūnas apima:</w:t>
      </w:r>
    </w:p>
    <w:p w14:paraId="7C94507D" w14:textId="2DB201D4"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(a) </w:t>
      </w:r>
      <w:proofErr w:type="spellStart"/>
      <w:r w:rsidRPr="00196748">
        <w:rPr>
          <w:rFonts w:ascii="Helvetica" w:hAnsi="Helvetica" w:cs="Arial"/>
          <w:sz w:val="20"/>
          <w:lang w:val="lt-LT"/>
        </w:rPr>
        <w:t>nivolumab</w:t>
      </w:r>
      <w:r w:rsidR="00F82DD9" w:rsidRPr="00196748">
        <w:rPr>
          <w:rFonts w:ascii="Helvetica" w:hAnsi="Helvetica" w:cs="Arial"/>
          <w:sz w:val="20"/>
          <w:lang w:val="lt-LT"/>
        </w:rPr>
        <w:t>ą</w:t>
      </w:r>
      <w:proofErr w:type="spellEnd"/>
      <w:r w:rsidRPr="00196748">
        <w:rPr>
          <w:rFonts w:ascii="Helvetica" w:hAnsi="Helvetica" w:cs="Arial"/>
          <w:sz w:val="20"/>
          <w:lang w:val="lt-LT"/>
        </w:rPr>
        <w:t>,</w:t>
      </w:r>
    </w:p>
    <w:p w14:paraId="60E0C911" w14:textId="415E663E"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 xml:space="preserve">(b) sunkiosios grandinės kintamos srities CDR1, CDR2 ir CDR3 </w:t>
      </w:r>
      <w:r w:rsidR="00F82DD9" w:rsidRPr="00196748">
        <w:rPr>
          <w:rFonts w:ascii="Helvetica" w:hAnsi="Helvetica" w:cs="Arial"/>
          <w:sz w:val="20"/>
          <w:lang w:val="lt-LT"/>
        </w:rPr>
        <w:t>domenus, apimančius</w:t>
      </w:r>
      <w:r w:rsidRPr="00196748">
        <w:rPr>
          <w:rFonts w:ascii="Helvetica" w:hAnsi="Helvetica" w:cs="Arial"/>
          <w:sz w:val="20"/>
          <w:lang w:val="lt-LT"/>
        </w:rPr>
        <w:t xml:space="preserve"> seką, nurodytą atitinkamai </w:t>
      </w:r>
      <w:r w:rsidR="00F82DD9" w:rsidRPr="00196748">
        <w:rPr>
          <w:rFonts w:ascii="Helvetica" w:hAnsi="Helvetica" w:cs="Arial"/>
          <w:sz w:val="20"/>
          <w:lang w:val="lt-LT"/>
        </w:rPr>
        <w:t xml:space="preserve">kaip </w:t>
      </w:r>
      <w:r w:rsidRPr="00196748">
        <w:rPr>
          <w:rFonts w:ascii="Helvetica" w:hAnsi="Helvetica" w:cs="Arial"/>
          <w:sz w:val="20"/>
          <w:lang w:val="lt-LT"/>
        </w:rPr>
        <w:t xml:space="preserve">SEQ ID Nr. 19, 20 ir 21, ir lengvosios grandinės kintamos srities CDR1, CDR2 ir CDR3 </w:t>
      </w:r>
      <w:r w:rsidR="00F82DD9" w:rsidRPr="00196748">
        <w:rPr>
          <w:rFonts w:ascii="Helvetica" w:hAnsi="Helvetica" w:cs="Arial"/>
          <w:sz w:val="20"/>
          <w:lang w:val="lt-LT"/>
        </w:rPr>
        <w:t>domenus, apimančius</w:t>
      </w:r>
      <w:r w:rsidRPr="00196748">
        <w:rPr>
          <w:rFonts w:ascii="Helvetica" w:hAnsi="Helvetica" w:cs="Arial"/>
          <w:sz w:val="20"/>
          <w:lang w:val="lt-LT"/>
        </w:rPr>
        <w:t xml:space="preserve"> seką, nurodytą atitinkamai </w:t>
      </w:r>
      <w:r w:rsidR="00F82DD9" w:rsidRPr="00196748">
        <w:rPr>
          <w:rFonts w:ascii="Helvetica" w:hAnsi="Helvetica" w:cs="Arial"/>
          <w:sz w:val="20"/>
          <w:lang w:val="lt-LT"/>
        </w:rPr>
        <w:t xml:space="preserve">kaip </w:t>
      </w:r>
      <w:r w:rsidRPr="00196748">
        <w:rPr>
          <w:rFonts w:ascii="Helvetica" w:hAnsi="Helvetica" w:cs="Arial"/>
          <w:sz w:val="20"/>
          <w:lang w:val="lt-LT"/>
        </w:rPr>
        <w:t>SEQ ID Nr. 22, 23 ir 24; arba</w:t>
      </w:r>
    </w:p>
    <w:p w14:paraId="2A8E731C" w14:textId="214519C8" w:rsidR="009A005C" w:rsidRPr="00196748" w:rsidRDefault="009A005C" w:rsidP="00196748">
      <w:pPr>
        <w:spacing w:after="0" w:line="360" w:lineRule="auto"/>
        <w:jc w:val="both"/>
        <w:rPr>
          <w:rFonts w:ascii="Helvetica" w:hAnsi="Helvetica" w:cs="Arial"/>
          <w:sz w:val="20"/>
          <w:lang w:val="lt-LT"/>
        </w:rPr>
      </w:pPr>
      <w:r w:rsidRPr="00196748">
        <w:rPr>
          <w:rFonts w:ascii="Helvetica" w:hAnsi="Helvetica" w:cs="Arial"/>
          <w:sz w:val="20"/>
          <w:lang w:val="lt-LT"/>
        </w:rPr>
        <w:t>(c) sunkiosios ir lengvosios grandinės kintam</w:t>
      </w:r>
      <w:r w:rsidR="00F82DD9" w:rsidRPr="00196748">
        <w:rPr>
          <w:rFonts w:ascii="Helvetica" w:hAnsi="Helvetica" w:cs="Arial"/>
          <w:sz w:val="20"/>
          <w:lang w:val="lt-LT"/>
        </w:rPr>
        <w:t>as sritis</w:t>
      </w:r>
      <w:r w:rsidRPr="00196748">
        <w:rPr>
          <w:rFonts w:ascii="Helvetica" w:hAnsi="Helvetica" w:cs="Arial"/>
          <w:sz w:val="20"/>
          <w:lang w:val="lt-LT"/>
        </w:rPr>
        <w:t>, apiman</w:t>
      </w:r>
      <w:r w:rsidR="00F82DD9" w:rsidRPr="00196748">
        <w:rPr>
          <w:rFonts w:ascii="Helvetica" w:hAnsi="Helvetica" w:cs="Arial"/>
          <w:sz w:val="20"/>
          <w:lang w:val="lt-LT"/>
        </w:rPr>
        <w:t>čias</w:t>
      </w:r>
      <w:r w:rsidRPr="00196748">
        <w:rPr>
          <w:rFonts w:ascii="Helvetica" w:hAnsi="Helvetica" w:cs="Arial"/>
          <w:sz w:val="20"/>
          <w:lang w:val="lt-LT"/>
        </w:rPr>
        <w:t xml:space="preserve"> sekas, nurodytas atitinkamai </w:t>
      </w:r>
      <w:r w:rsidR="00F82DD9" w:rsidRPr="00196748">
        <w:rPr>
          <w:rFonts w:ascii="Helvetica" w:hAnsi="Helvetica" w:cs="Arial"/>
          <w:sz w:val="20"/>
          <w:lang w:val="lt-LT"/>
        </w:rPr>
        <w:t xml:space="preserve">kaip </w:t>
      </w:r>
      <w:r w:rsidRPr="00196748">
        <w:rPr>
          <w:rFonts w:ascii="Helvetica" w:hAnsi="Helvetica" w:cs="Arial"/>
          <w:sz w:val="20"/>
          <w:lang w:val="lt-LT"/>
        </w:rPr>
        <w:t>SEQ ID N</w:t>
      </w:r>
      <w:r w:rsidR="00F82DD9" w:rsidRPr="00196748">
        <w:rPr>
          <w:rFonts w:ascii="Helvetica" w:hAnsi="Helvetica" w:cs="Arial"/>
          <w:sz w:val="20"/>
          <w:lang w:val="lt-LT"/>
        </w:rPr>
        <w:t>r.</w:t>
      </w:r>
      <w:r w:rsidRPr="00196748">
        <w:rPr>
          <w:rFonts w:ascii="Helvetica" w:hAnsi="Helvetica" w:cs="Arial"/>
          <w:sz w:val="20"/>
          <w:lang w:val="lt-LT"/>
        </w:rPr>
        <w:t xml:space="preserve"> 15 ir 17.</w:t>
      </w:r>
    </w:p>
    <w:p w14:paraId="1D0316A8" w14:textId="77777777" w:rsidR="00F82DD9" w:rsidRPr="00196748" w:rsidRDefault="00F82DD9" w:rsidP="00196748">
      <w:pPr>
        <w:spacing w:after="0" w:line="360" w:lineRule="auto"/>
        <w:jc w:val="both"/>
        <w:rPr>
          <w:rFonts w:ascii="Helvetica" w:hAnsi="Helvetica" w:cs="Arial"/>
          <w:sz w:val="20"/>
          <w:lang w:val="lt-LT"/>
        </w:rPr>
      </w:pPr>
    </w:p>
    <w:p w14:paraId="073E0E23" w14:textId="77777777" w:rsidR="003563C1" w:rsidRDefault="009A005C" w:rsidP="003563C1">
      <w:pPr>
        <w:spacing w:after="0" w:line="360" w:lineRule="auto"/>
        <w:ind w:firstLine="567"/>
        <w:jc w:val="both"/>
        <w:rPr>
          <w:rFonts w:ascii="Helvetica" w:hAnsi="Helvetica" w:cs="Arial"/>
          <w:sz w:val="20"/>
          <w:lang w:val="lt-LT"/>
        </w:rPr>
      </w:pPr>
      <w:r w:rsidRPr="00196748">
        <w:rPr>
          <w:rFonts w:ascii="Helvetica" w:hAnsi="Helvetica" w:cs="Arial"/>
          <w:sz w:val="20"/>
          <w:lang w:val="lt-LT"/>
        </w:rPr>
        <w:t>13.</w:t>
      </w:r>
      <w:r w:rsidR="00F82DD9" w:rsidRPr="00196748">
        <w:rPr>
          <w:rFonts w:ascii="Helvetica" w:hAnsi="Helvetica" w:cs="Arial"/>
          <w:sz w:val="20"/>
          <w:lang w:val="lt-LT"/>
        </w:rPr>
        <w:t xml:space="preserve"> </w:t>
      </w:r>
      <w:r w:rsidRPr="00196748">
        <w:rPr>
          <w:rFonts w:ascii="Helvetica" w:hAnsi="Helvetica" w:cs="Arial"/>
          <w:sz w:val="20"/>
          <w:lang w:val="lt-LT"/>
        </w:rPr>
        <w:t xml:space="preserve">Derinys, anti-LAG-3 antikūnas arba anti-PD-1 antikūnas,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1–12 punktų, kur pacientui anksčiau nebuvo atlikta melanomos operacija.</w:t>
      </w:r>
    </w:p>
    <w:p w14:paraId="0A18CE0F" w14:textId="77777777" w:rsidR="003563C1" w:rsidRDefault="003563C1" w:rsidP="003563C1">
      <w:pPr>
        <w:spacing w:after="0" w:line="360" w:lineRule="auto"/>
        <w:ind w:firstLine="567"/>
        <w:jc w:val="both"/>
        <w:rPr>
          <w:rFonts w:ascii="Helvetica" w:hAnsi="Helvetica" w:cs="Arial"/>
          <w:sz w:val="20"/>
          <w:lang w:val="lt-LT"/>
        </w:rPr>
      </w:pPr>
    </w:p>
    <w:p w14:paraId="089278AD" w14:textId="72B0F7A1" w:rsidR="000E3CDA" w:rsidRPr="00196748" w:rsidRDefault="009A005C" w:rsidP="003563C1">
      <w:pPr>
        <w:spacing w:after="0" w:line="360" w:lineRule="auto"/>
        <w:ind w:firstLine="567"/>
        <w:jc w:val="both"/>
        <w:rPr>
          <w:rFonts w:ascii="Helvetica" w:hAnsi="Helvetica" w:cs="Arial"/>
          <w:sz w:val="20"/>
          <w:lang w:val="lt-LT"/>
        </w:rPr>
      </w:pPr>
      <w:r w:rsidRPr="00196748">
        <w:rPr>
          <w:rFonts w:ascii="Helvetica" w:hAnsi="Helvetica" w:cs="Arial"/>
          <w:sz w:val="20"/>
          <w:lang w:val="lt-LT"/>
        </w:rPr>
        <w:t>14.</w:t>
      </w:r>
      <w:r w:rsidR="00F82DD9" w:rsidRPr="00196748">
        <w:rPr>
          <w:rFonts w:ascii="Helvetica" w:hAnsi="Helvetica" w:cs="Arial"/>
          <w:sz w:val="20"/>
          <w:lang w:val="lt-LT"/>
        </w:rPr>
        <w:t xml:space="preserve"> </w:t>
      </w:r>
      <w:r w:rsidRPr="00196748">
        <w:rPr>
          <w:rFonts w:ascii="Helvetica" w:hAnsi="Helvetica" w:cs="Arial"/>
          <w:sz w:val="20"/>
          <w:lang w:val="lt-LT"/>
        </w:rPr>
        <w:t xml:space="preserve">Derinys, anti-LAG-3 antikūnas arba anti-PD-1 antikūnas, </w:t>
      </w:r>
      <w:r w:rsidR="00C9549C" w:rsidRPr="00196748">
        <w:rPr>
          <w:rFonts w:ascii="Helvetica" w:hAnsi="Helvetica" w:cs="Arial"/>
          <w:sz w:val="20"/>
          <w:lang w:val="lt-LT"/>
        </w:rPr>
        <w:t>skirtas panaudoti</w:t>
      </w:r>
      <w:r w:rsidRPr="00196748">
        <w:rPr>
          <w:rFonts w:ascii="Helvetica" w:hAnsi="Helvetica" w:cs="Arial"/>
          <w:sz w:val="20"/>
          <w:lang w:val="lt-LT"/>
        </w:rPr>
        <w:t xml:space="preserve"> </w:t>
      </w:r>
      <w:r w:rsidR="00E602AA" w:rsidRPr="00196748">
        <w:rPr>
          <w:rFonts w:ascii="Helvetica" w:hAnsi="Helvetica" w:cs="Arial"/>
          <w:sz w:val="20"/>
          <w:lang w:val="lt-LT"/>
        </w:rPr>
        <w:t>pagal bet kurį vieną iš</w:t>
      </w:r>
      <w:r w:rsidRPr="00196748">
        <w:rPr>
          <w:rFonts w:ascii="Helvetica" w:hAnsi="Helvetica" w:cs="Arial"/>
          <w:sz w:val="20"/>
          <w:lang w:val="lt-LT"/>
        </w:rPr>
        <w:t xml:space="preserve"> 1–13 punktų, kur pacientas nebuvo </w:t>
      </w:r>
      <w:r w:rsidR="00F82DD9" w:rsidRPr="00196748">
        <w:rPr>
          <w:rFonts w:ascii="Helvetica" w:hAnsi="Helvetica" w:cs="Arial"/>
          <w:sz w:val="20"/>
          <w:lang w:val="lt-LT"/>
        </w:rPr>
        <w:t>gydytas</w:t>
      </w:r>
      <w:r w:rsidRPr="00196748">
        <w:rPr>
          <w:rFonts w:ascii="Helvetica" w:hAnsi="Helvetica" w:cs="Arial"/>
          <w:sz w:val="20"/>
          <w:lang w:val="lt-LT"/>
        </w:rPr>
        <w:t xml:space="preserve"> spindulin</w:t>
      </w:r>
      <w:r w:rsidR="00F82DD9" w:rsidRPr="00196748">
        <w:rPr>
          <w:rFonts w:ascii="Helvetica" w:hAnsi="Helvetica" w:cs="Arial"/>
          <w:sz w:val="20"/>
          <w:lang w:val="lt-LT"/>
        </w:rPr>
        <w:t>e</w:t>
      </w:r>
      <w:r w:rsidRPr="00196748">
        <w:rPr>
          <w:rFonts w:ascii="Helvetica" w:hAnsi="Helvetica" w:cs="Arial"/>
          <w:sz w:val="20"/>
          <w:lang w:val="lt-LT"/>
        </w:rPr>
        <w:t xml:space="preserve"> terapij</w:t>
      </w:r>
      <w:r w:rsidR="00F82DD9" w:rsidRPr="00196748">
        <w:rPr>
          <w:rFonts w:ascii="Helvetica" w:hAnsi="Helvetica" w:cs="Arial"/>
          <w:sz w:val="20"/>
          <w:lang w:val="lt-LT"/>
        </w:rPr>
        <w:t>a</w:t>
      </w:r>
      <w:r w:rsidRPr="00196748">
        <w:rPr>
          <w:rFonts w:ascii="Helvetica" w:hAnsi="Helvetica" w:cs="Arial"/>
          <w:sz w:val="20"/>
          <w:lang w:val="lt-LT"/>
        </w:rPr>
        <w:t>.</w:t>
      </w:r>
    </w:p>
    <w:sectPr w:rsidR="000E3CDA" w:rsidRPr="00196748" w:rsidSect="00196748">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2E75" w14:textId="77777777" w:rsidR="00EB3B1F" w:rsidRDefault="00EB3B1F" w:rsidP="007B0A41">
      <w:pPr>
        <w:spacing w:after="0" w:line="240" w:lineRule="auto"/>
      </w:pPr>
      <w:r>
        <w:separator/>
      </w:r>
    </w:p>
  </w:endnote>
  <w:endnote w:type="continuationSeparator" w:id="0">
    <w:p w14:paraId="767FEB7D" w14:textId="77777777" w:rsidR="00EB3B1F" w:rsidRDefault="00EB3B1F"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9F69" w14:textId="77777777" w:rsidR="00EB3B1F" w:rsidRDefault="00EB3B1F" w:rsidP="007B0A41">
      <w:pPr>
        <w:spacing w:after="0" w:line="240" w:lineRule="auto"/>
      </w:pPr>
      <w:r>
        <w:separator/>
      </w:r>
    </w:p>
  </w:footnote>
  <w:footnote w:type="continuationSeparator" w:id="0">
    <w:p w14:paraId="0D1E2AD2" w14:textId="77777777" w:rsidR="00EB3B1F" w:rsidRDefault="00EB3B1F"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oNotTrackMoves/>
  <w:defaultTabStop w:val="720"/>
  <w:hyphenationZone w:val="396"/>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53D3E"/>
    <w:rsid w:val="00062A8E"/>
    <w:rsid w:val="00065F0D"/>
    <w:rsid w:val="00070D8A"/>
    <w:rsid w:val="00092D0B"/>
    <w:rsid w:val="000B01FB"/>
    <w:rsid w:val="000B3A58"/>
    <w:rsid w:val="000C68F9"/>
    <w:rsid w:val="000D0403"/>
    <w:rsid w:val="000E3CDA"/>
    <w:rsid w:val="000E6C31"/>
    <w:rsid w:val="000F1D6A"/>
    <w:rsid w:val="0011001D"/>
    <w:rsid w:val="00120AC9"/>
    <w:rsid w:val="001308ED"/>
    <w:rsid w:val="0013504A"/>
    <w:rsid w:val="001427C4"/>
    <w:rsid w:val="001668DF"/>
    <w:rsid w:val="00167C76"/>
    <w:rsid w:val="00192F10"/>
    <w:rsid w:val="00196748"/>
    <w:rsid w:val="001A3E8E"/>
    <w:rsid w:val="001B452C"/>
    <w:rsid w:val="001C1CC3"/>
    <w:rsid w:val="001C33D1"/>
    <w:rsid w:val="001D3F4E"/>
    <w:rsid w:val="001F266E"/>
    <w:rsid w:val="00211C3F"/>
    <w:rsid w:val="0021404B"/>
    <w:rsid w:val="00223910"/>
    <w:rsid w:val="0022569F"/>
    <w:rsid w:val="0022707B"/>
    <w:rsid w:val="00234E11"/>
    <w:rsid w:val="00253760"/>
    <w:rsid w:val="00260D4E"/>
    <w:rsid w:val="00262076"/>
    <w:rsid w:val="00280DD3"/>
    <w:rsid w:val="002837FC"/>
    <w:rsid w:val="002B66D9"/>
    <w:rsid w:val="002E0F37"/>
    <w:rsid w:val="002F14F9"/>
    <w:rsid w:val="003039EC"/>
    <w:rsid w:val="00316FB7"/>
    <w:rsid w:val="00334817"/>
    <w:rsid w:val="003563C1"/>
    <w:rsid w:val="003636D8"/>
    <w:rsid w:val="003700E9"/>
    <w:rsid w:val="00370A78"/>
    <w:rsid w:val="00372A7E"/>
    <w:rsid w:val="003A0D71"/>
    <w:rsid w:val="003A2C71"/>
    <w:rsid w:val="003A7D4E"/>
    <w:rsid w:val="003C041F"/>
    <w:rsid w:val="003D4001"/>
    <w:rsid w:val="003D6C42"/>
    <w:rsid w:val="003E51FF"/>
    <w:rsid w:val="003E6EF1"/>
    <w:rsid w:val="003F49EF"/>
    <w:rsid w:val="003F7401"/>
    <w:rsid w:val="00405D68"/>
    <w:rsid w:val="00412B35"/>
    <w:rsid w:val="00416928"/>
    <w:rsid w:val="00431822"/>
    <w:rsid w:val="00434733"/>
    <w:rsid w:val="00443029"/>
    <w:rsid w:val="0044384C"/>
    <w:rsid w:val="004608B1"/>
    <w:rsid w:val="00473E17"/>
    <w:rsid w:val="004922D2"/>
    <w:rsid w:val="004A11D8"/>
    <w:rsid w:val="004C1469"/>
    <w:rsid w:val="004E0125"/>
    <w:rsid w:val="004F06A1"/>
    <w:rsid w:val="00500B25"/>
    <w:rsid w:val="0053198F"/>
    <w:rsid w:val="005324BA"/>
    <w:rsid w:val="0053389E"/>
    <w:rsid w:val="00556FA2"/>
    <w:rsid w:val="00560B7D"/>
    <w:rsid w:val="00564911"/>
    <w:rsid w:val="00594211"/>
    <w:rsid w:val="0059478E"/>
    <w:rsid w:val="0059618A"/>
    <w:rsid w:val="00596912"/>
    <w:rsid w:val="005C70E9"/>
    <w:rsid w:val="005D37DF"/>
    <w:rsid w:val="005D3B9A"/>
    <w:rsid w:val="005E238A"/>
    <w:rsid w:val="005E3502"/>
    <w:rsid w:val="005E7A72"/>
    <w:rsid w:val="005F2F2E"/>
    <w:rsid w:val="005F4383"/>
    <w:rsid w:val="00600FCD"/>
    <w:rsid w:val="006031C5"/>
    <w:rsid w:val="006049CC"/>
    <w:rsid w:val="0061171B"/>
    <w:rsid w:val="00617E21"/>
    <w:rsid w:val="0063322A"/>
    <w:rsid w:val="006375BB"/>
    <w:rsid w:val="00675FB8"/>
    <w:rsid w:val="00683CBB"/>
    <w:rsid w:val="00683EAE"/>
    <w:rsid w:val="0069131F"/>
    <w:rsid w:val="006A369A"/>
    <w:rsid w:val="006A5176"/>
    <w:rsid w:val="006B0219"/>
    <w:rsid w:val="006B1F43"/>
    <w:rsid w:val="006C2F85"/>
    <w:rsid w:val="006C3CD4"/>
    <w:rsid w:val="006C5EA4"/>
    <w:rsid w:val="006C673E"/>
    <w:rsid w:val="006D08E0"/>
    <w:rsid w:val="006D15AB"/>
    <w:rsid w:val="006D6063"/>
    <w:rsid w:val="006F1620"/>
    <w:rsid w:val="006F52F9"/>
    <w:rsid w:val="00755AA1"/>
    <w:rsid w:val="00774B30"/>
    <w:rsid w:val="007752B9"/>
    <w:rsid w:val="007760A8"/>
    <w:rsid w:val="00790202"/>
    <w:rsid w:val="00795D58"/>
    <w:rsid w:val="007A3CB1"/>
    <w:rsid w:val="007A4B6F"/>
    <w:rsid w:val="007B0A41"/>
    <w:rsid w:val="007B11E6"/>
    <w:rsid w:val="007C0A0D"/>
    <w:rsid w:val="007C60FE"/>
    <w:rsid w:val="007E2261"/>
    <w:rsid w:val="0080683C"/>
    <w:rsid w:val="00806BE5"/>
    <w:rsid w:val="0082278C"/>
    <w:rsid w:val="008264C5"/>
    <w:rsid w:val="008309E7"/>
    <w:rsid w:val="008321FA"/>
    <w:rsid w:val="00837B1E"/>
    <w:rsid w:val="00847DA0"/>
    <w:rsid w:val="00864E7D"/>
    <w:rsid w:val="00886FF4"/>
    <w:rsid w:val="008A7B6E"/>
    <w:rsid w:val="008B41AC"/>
    <w:rsid w:val="008C60D6"/>
    <w:rsid w:val="008E0506"/>
    <w:rsid w:val="008E0E9E"/>
    <w:rsid w:val="0090596D"/>
    <w:rsid w:val="00907FD8"/>
    <w:rsid w:val="009172BC"/>
    <w:rsid w:val="0093370F"/>
    <w:rsid w:val="00942B46"/>
    <w:rsid w:val="0094772A"/>
    <w:rsid w:val="00947ACD"/>
    <w:rsid w:val="009520D8"/>
    <w:rsid w:val="00963C86"/>
    <w:rsid w:val="00971B8A"/>
    <w:rsid w:val="009766FA"/>
    <w:rsid w:val="00984334"/>
    <w:rsid w:val="0098532A"/>
    <w:rsid w:val="00987131"/>
    <w:rsid w:val="00992879"/>
    <w:rsid w:val="009A005C"/>
    <w:rsid w:val="009B138F"/>
    <w:rsid w:val="009B2E35"/>
    <w:rsid w:val="009B6C12"/>
    <w:rsid w:val="009C0650"/>
    <w:rsid w:val="009E1482"/>
    <w:rsid w:val="009F466B"/>
    <w:rsid w:val="00A02F0C"/>
    <w:rsid w:val="00A13E81"/>
    <w:rsid w:val="00A154FD"/>
    <w:rsid w:val="00A15699"/>
    <w:rsid w:val="00A22BBD"/>
    <w:rsid w:val="00A3340C"/>
    <w:rsid w:val="00A4282B"/>
    <w:rsid w:val="00A46DA4"/>
    <w:rsid w:val="00A51B6C"/>
    <w:rsid w:val="00A534B9"/>
    <w:rsid w:val="00A814FD"/>
    <w:rsid w:val="00A81593"/>
    <w:rsid w:val="00AA3A1F"/>
    <w:rsid w:val="00AD4691"/>
    <w:rsid w:val="00AE4C3F"/>
    <w:rsid w:val="00AE51EA"/>
    <w:rsid w:val="00AE7DF3"/>
    <w:rsid w:val="00AF0BF4"/>
    <w:rsid w:val="00AF3096"/>
    <w:rsid w:val="00B200E3"/>
    <w:rsid w:val="00B226B6"/>
    <w:rsid w:val="00B264AD"/>
    <w:rsid w:val="00B32101"/>
    <w:rsid w:val="00B47D94"/>
    <w:rsid w:val="00B50D53"/>
    <w:rsid w:val="00B63380"/>
    <w:rsid w:val="00B6516C"/>
    <w:rsid w:val="00B70727"/>
    <w:rsid w:val="00B81287"/>
    <w:rsid w:val="00B81299"/>
    <w:rsid w:val="00B86C5A"/>
    <w:rsid w:val="00B941E6"/>
    <w:rsid w:val="00B95DE1"/>
    <w:rsid w:val="00B97CDD"/>
    <w:rsid w:val="00BA7575"/>
    <w:rsid w:val="00BC4201"/>
    <w:rsid w:val="00BD2789"/>
    <w:rsid w:val="00BD5417"/>
    <w:rsid w:val="00C1001A"/>
    <w:rsid w:val="00C13EC7"/>
    <w:rsid w:val="00C220FE"/>
    <w:rsid w:val="00C2766E"/>
    <w:rsid w:val="00C30968"/>
    <w:rsid w:val="00C636DD"/>
    <w:rsid w:val="00C72847"/>
    <w:rsid w:val="00C73E71"/>
    <w:rsid w:val="00C86DA9"/>
    <w:rsid w:val="00C902A3"/>
    <w:rsid w:val="00C91715"/>
    <w:rsid w:val="00C9549C"/>
    <w:rsid w:val="00CA5FE4"/>
    <w:rsid w:val="00CB40EC"/>
    <w:rsid w:val="00CE42D1"/>
    <w:rsid w:val="00CF541F"/>
    <w:rsid w:val="00CF70D6"/>
    <w:rsid w:val="00D019CB"/>
    <w:rsid w:val="00D10809"/>
    <w:rsid w:val="00D15412"/>
    <w:rsid w:val="00D16824"/>
    <w:rsid w:val="00D23A2A"/>
    <w:rsid w:val="00D30F69"/>
    <w:rsid w:val="00D434B1"/>
    <w:rsid w:val="00D530B1"/>
    <w:rsid w:val="00D54A23"/>
    <w:rsid w:val="00D55A30"/>
    <w:rsid w:val="00D56D60"/>
    <w:rsid w:val="00D71A17"/>
    <w:rsid w:val="00D83DAA"/>
    <w:rsid w:val="00DA4CB2"/>
    <w:rsid w:val="00DB375D"/>
    <w:rsid w:val="00DD1AA0"/>
    <w:rsid w:val="00DD5D45"/>
    <w:rsid w:val="00E1104B"/>
    <w:rsid w:val="00E1543E"/>
    <w:rsid w:val="00E1780E"/>
    <w:rsid w:val="00E2583B"/>
    <w:rsid w:val="00E27C4C"/>
    <w:rsid w:val="00E321B7"/>
    <w:rsid w:val="00E33FCB"/>
    <w:rsid w:val="00E4355E"/>
    <w:rsid w:val="00E551C5"/>
    <w:rsid w:val="00E602AA"/>
    <w:rsid w:val="00E91AE0"/>
    <w:rsid w:val="00EA476F"/>
    <w:rsid w:val="00EB1EE5"/>
    <w:rsid w:val="00EB3B1F"/>
    <w:rsid w:val="00EB6F08"/>
    <w:rsid w:val="00EC2BD7"/>
    <w:rsid w:val="00ED04B0"/>
    <w:rsid w:val="00F01CE8"/>
    <w:rsid w:val="00F2101A"/>
    <w:rsid w:val="00F322DE"/>
    <w:rsid w:val="00F338E9"/>
    <w:rsid w:val="00F36966"/>
    <w:rsid w:val="00F37F4D"/>
    <w:rsid w:val="00F51549"/>
    <w:rsid w:val="00F5330D"/>
    <w:rsid w:val="00F54B6A"/>
    <w:rsid w:val="00F577D6"/>
    <w:rsid w:val="00F660E3"/>
    <w:rsid w:val="00F66B57"/>
    <w:rsid w:val="00F82DD9"/>
    <w:rsid w:val="00F87A00"/>
    <w:rsid w:val="00F94F6E"/>
    <w:rsid w:val="00FA380A"/>
    <w:rsid w:val="00FB2032"/>
    <w:rsid w:val="00FB2D33"/>
    <w:rsid w:val="00FB63E2"/>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155CED03"/>
  <w15:chartTrackingRefBased/>
  <w15:docId w15:val="{8FBC0B37-8DF8-445F-958A-B55093A6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7646-3FDF-4AB0-925B-D2EB7500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6220</Characters>
  <Application>Microsoft Office Word</Application>
  <DocSecurity>0</DocSecurity>
  <Lines>115</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3</cp:revision>
  <dcterms:created xsi:type="dcterms:W3CDTF">2025-11-04T14:04:00Z</dcterms:created>
  <dcterms:modified xsi:type="dcterms:W3CDTF">2025-11-21T08:10:00Z</dcterms:modified>
</cp:coreProperties>
</file>