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F420" w14:textId="77777777" w:rsidR="00E82251" w:rsidRPr="00327FF7" w:rsidRDefault="00B7072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 xml:space="preserve">1. </w:t>
      </w:r>
      <w:r w:rsidR="00BF2407" w:rsidRPr="00327FF7">
        <w:rPr>
          <w:rFonts w:ascii="Helvetica" w:hAnsi="Helvetica" w:cs="Arial"/>
          <w:sz w:val="20"/>
          <w:lang w:val="lt-LT"/>
        </w:rPr>
        <w:t xml:space="preserve">Izoliuotas 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="00BF2407" w:rsidRPr="00327FF7">
        <w:rPr>
          <w:rFonts w:ascii="Helvetica" w:hAnsi="Helvetica" w:cs="Arial"/>
          <w:sz w:val="20"/>
          <w:lang w:val="lt-LT"/>
        </w:rPr>
        <w:t xml:space="preserve">, specifiškai </w:t>
      </w:r>
      <w:r w:rsidR="00E82251" w:rsidRPr="00327FF7">
        <w:rPr>
          <w:rFonts w:ascii="Helvetica" w:hAnsi="Helvetica" w:cs="Arial"/>
          <w:sz w:val="20"/>
          <w:lang w:val="lt-LT"/>
        </w:rPr>
        <w:t>surišanti</w:t>
      </w:r>
      <w:r w:rsidR="00BF2407" w:rsidRPr="00327FF7">
        <w:rPr>
          <w:rFonts w:ascii="Helvetica" w:hAnsi="Helvetica" w:cs="Arial"/>
          <w:sz w:val="20"/>
          <w:lang w:val="lt-LT"/>
        </w:rPr>
        <w:t xml:space="preserve"> šuns IL-31, apimanti </w:t>
      </w:r>
    </w:p>
    <w:p w14:paraId="3D36151B" w14:textId="7F1059DD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kintamos sunkiosios (V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H</w:t>
      </w:r>
      <w:r w:rsidRPr="00327FF7">
        <w:rPr>
          <w:rFonts w:ascii="Helvetica" w:hAnsi="Helvetica" w:cs="Arial"/>
          <w:sz w:val="20"/>
          <w:lang w:val="lt-LT"/>
        </w:rPr>
        <w:t xml:space="preserve">) grandinės </w:t>
      </w:r>
      <w:proofErr w:type="spellStart"/>
      <w:r w:rsidRPr="00327FF7">
        <w:rPr>
          <w:rFonts w:ascii="Helvetica" w:hAnsi="Helvetica" w:cs="Arial"/>
          <w:sz w:val="20"/>
          <w:lang w:val="lt-LT"/>
        </w:rPr>
        <w:t>komplementar</w:t>
      </w:r>
      <w:r w:rsidR="00E82251" w:rsidRPr="00327FF7">
        <w:rPr>
          <w:rFonts w:ascii="Helvetica" w:hAnsi="Helvetica" w:cs="Arial"/>
          <w:sz w:val="20"/>
          <w:lang w:val="lt-LT"/>
        </w:rPr>
        <w:t>umą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lemian</w:t>
      </w:r>
      <w:r w:rsidR="00E82251" w:rsidRPr="00327FF7">
        <w:rPr>
          <w:rFonts w:ascii="Helvetica" w:hAnsi="Helvetica" w:cs="Arial"/>
          <w:sz w:val="20"/>
          <w:lang w:val="lt-LT"/>
        </w:rPr>
        <w:t>čią sritį</w:t>
      </w:r>
      <w:r w:rsidRPr="00327FF7">
        <w:rPr>
          <w:rFonts w:ascii="Helvetica" w:hAnsi="Helvetica" w:cs="Arial"/>
          <w:sz w:val="20"/>
          <w:lang w:val="lt-LT"/>
        </w:rPr>
        <w:t xml:space="preserve"> (CDR)1, kurio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r w:rsidRPr="00327FF7">
        <w:rPr>
          <w:rFonts w:ascii="Helvetica" w:hAnsi="Helvetica" w:cs="Arial"/>
          <w:sz w:val="20"/>
          <w:lang w:val="lt-LT"/>
        </w:rPr>
        <w:t xml:space="preserve"> aminorūgščių seka </w:t>
      </w:r>
      <w:r w:rsidR="00E82251" w:rsidRPr="00327FF7">
        <w:rPr>
          <w:rFonts w:ascii="Helvetica" w:hAnsi="Helvetica" w:cs="Arial"/>
          <w:sz w:val="20"/>
          <w:lang w:val="lt-LT"/>
        </w:rPr>
        <w:t xml:space="preserve">yra </w:t>
      </w:r>
      <w:r w:rsidRPr="00327FF7">
        <w:rPr>
          <w:rFonts w:ascii="Helvetica" w:hAnsi="Helvetica" w:cs="Arial"/>
          <w:sz w:val="20"/>
          <w:lang w:val="lt-LT"/>
        </w:rPr>
        <w:t>NYGMS (SEQ ID Nr. 3; 34D03-VH-CDR1),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H</w:t>
      </w:r>
      <w:r w:rsidRPr="00327FF7">
        <w:rPr>
          <w:rFonts w:ascii="Helvetica" w:hAnsi="Helvetica" w:cs="Arial"/>
          <w:sz w:val="20"/>
          <w:lang w:val="lt-LT"/>
        </w:rPr>
        <w:t xml:space="preserve"> CDR2, kurio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r w:rsidRPr="00327FF7">
        <w:rPr>
          <w:rFonts w:ascii="Helvetica" w:hAnsi="Helvetica" w:cs="Arial"/>
          <w:sz w:val="20"/>
          <w:lang w:val="lt-LT"/>
        </w:rPr>
        <w:t xml:space="preserve"> aminorūgščių seka </w:t>
      </w:r>
      <w:r w:rsidR="00E82251" w:rsidRPr="00327FF7">
        <w:rPr>
          <w:rFonts w:ascii="Helvetica" w:hAnsi="Helvetica" w:cs="Arial"/>
          <w:sz w:val="20"/>
          <w:lang w:val="lt-LT"/>
        </w:rPr>
        <w:t>yra TISYGGSYTYYPDNIKG</w:t>
      </w:r>
      <w:r w:rsidRPr="00327FF7">
        <w:rPr>
          <w:rFonts w:ascii="Helvetica" w:hAnsi="Helvetica" w:cs="Arial"/>
          <w:sz w:val="20"/>
          <w:lang w:val="lt-LT"/>
        </w:rPr>
        <w:t xml:space="preserve"> (SEQ ID Nr. 6; 34D03-VH-CDR2), ir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H</w:t>
      </w:r>
      <w:r w:rsidRPr="00327FF7">
        <w:rPr>
          <w:rFonts w:ascii="Helvetica" w:hAnsi="Helvetica" w:cs="Arial"/>
          <w:sz w:val="20"/>
          <w:lang w:val="lt-LT"/>
        </w:rPr>
        <w:t xml:space="preserve"> CDR3, kurio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r w:rsidRPr="00327FF7">
        <w:rPr>
          <w:rFonts w:ascii="Helvetica" w:hAnsi="Helvetica" w:cs="Arial"/>
          <w:sz w:val="20"/>
          <w:lang w:val="lt-LT"/>
        </w:rPr>
        <w:t xml:space="preserve"> aminorūgščių seka</w:t>
      </w:r>
      <w:r w:rsidR="00E82251" w:rsidRPr="00327FF7">
        <w:rPr>
          <w:rFonts w:ascii="Helvetica" w:hAnsi="Helvetica" w:cs="Arial"/>
          <w:sz w:val="20"/>
          <w:lang w:val="lt-LT"/>
        </w:rPr>
        <w:t xml:space="preserve"> yra</w:t>
      </w:r>
      <w:r w:rsidRPr="00327FF7">
        <w:rPr>
          <w:rFonts w:ascii="Helvetica" w:hAnsi="Helvetica" w:cs="Arial"/>
          <w:sz w:val="20"/>
          <w:lang w:val="lt-LT"/>
        </w:rPr>
        <w:t xml:space="preserve"> VRGYGYDTMDY (SEQ ID Nr. 9; 34D03-VH-CDR3); ir</w:t>
      </w:r>
    </w:p>
    <w:p w14:paraId="5ED4818D" w14:textId="11A98170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kintama lengvoji (V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L</w:t>
      </w:r>
      <w:r w:rsidRPr="00327FF7">
        <w:rPr>
          <w:rFonts w:ascii="Helvetica" w:hAnsi="Helvetica" w:cs="Arial"/>
          <w:sz w:val="20"/>
          <w:lang w:val="lt-LT"/>
        </w:rPr>
        <w:t xml:space="preserve">) grandinė, apimanti </w:t>
      </w:r>
      <w:proofErr w:type="spellStart"/>
      <w:r w:rsidR="00E82251" w:rsidRPr="00327FF7">
        <w:rPr>
          <w:rFonts w:ascii="Helvetica" w:hAnsi="Helvetica" w:cs="Arial"/>
          <w:sz w:val="20"/>
          <w:lang w:val="lt-LT"/>
        </w:rPr>
        <w:t>komplementarumą</w:t>
      </w:r>
      <w:proofErr w:type="spellEnd"/>
      <w:r w:rsidR="00E82251" w:rsidRPr="00327FF7">
        <w:rPr>
          <w:rFonts w:ascii="Helvetica" w:hAnsi="Helvetica" w:cs="Arial"/>
          <w:sz w:val="20"/>
          <w:lang w:val="lt-LT"/>
        </w:rPr>
        <w:t xml:space="preserve"> lemiančią sritį</w:t>
      </w:r>
      <w:r w:rsidRPr="00327FF7">
        <w:rPr>
          <w:rFonts w:ascii="Helvetica" w:hAnsi="Helvetica" w:cs="Arial"/>
          <w:sz w:val="20"/>
          <w:lang w:val="lt-LT"/>
        </w:rPr>
        <w:t xml:space="preserve"> (CDR) 1, kurio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r w:rsidRPr="00327FF7">
        <w:rPr>
          <w:rFonts w:ascii="Helvetica" w:hAnsi="Helvetica" w:cs="Arial"/>
          <w:sz w:val="20"/>
          <w:lang w:val="lt-LT"/>
        </w:rPr>
        <w:t xml:space="preserve"> aminorūgščių seka </w:t>
      </w:r>
      <w:r w:rsidR="00E82251" w:rsidRPr="00327FF7">
        <w:rPr>
          <w:rFonts w:ascii="Helvetica" w:hAnsi="Helvetica" w:cs="Arial"/>
          <w:sz w:val="20"/>
          <w:lang w:val="lt-LT"/>
        </w:rPr>
        <w:t>yra KASQSVSFAGTGLMH</w:t>
      </w:r>
      <w:r w:rsidRPr="00327FF7">
        <w:rPr>
          <w:rFonts w:ascii="Helvetica" w:hAnsi="Helvetica" w:cs="Arial"/>
          <w:sz w:val="20"/>
          <w:lang w:val="lt-LT"/>
        </w:rPr>
        <w:t xml:space="preserve"> (SEQ ID Nr. 12; 34D03-VL-CDR1),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L</w:t>
      </w:r>
      <w:r w:rsidRPr="00327FF7">
        <w:rPr>
          <w:rFonts w:ascii="Helvetica" w:hAnsi="Helvetica" w:cs="Arial"/>
          <w:sz w:val="20"/>
          <w:lang w:val="lt-LT"/>
        </w:rPr>
        <w:t xml:space="preserve"> CDR2, kurio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r w:rsidRPr="00327FF7">
        <w:rPr>
          <w:rFonts w:ascii="Helvetica" w:hAnsi="Helvetica" w:cs="Arial"/>
          <w:sz w:val="20"/>
          <w:lang w:val="lt-LT"/>
        </w:rPr>
        <w:t xml:space="preserve"> aminorūgščių seka </w:t>
      </w:r>
      <w:r w:rsidR="00E82251" w:rsidRPr="00327FF7">
        <w:rPr>
          <w:rFonts w:ascii="Helvetica" w:hAnsi="Helvetica" w:cs="Arial"/>
          <w:sz w:val="20"/>
          <w:lang w:val="lt-LT"/>
        </w:rPr>
        <w:t xml:space="preserve">yra </w:t>
      </w:r>
      <w:r w:rsidRPr="00327FF7">
        <w:rPr>
          <w:rFonts w:ascii="Helvetica" w:hAnsi="Helvetica" w:cs="Arial"/>
          <w:sz w:val="20"/>
          <w:lang w:val="lt-LT"/>
        </w:rPr>
        <w:t>RASNLEA (SEQ ID Nr. 15; 34D03-VL-CDR2), ir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L</w:t>
      </w:r>
      <w:r w:rsidRPr="00327FF7">
        <w:rPr>
          <w:rFonts w:ascii="Helvetica" w:hAnsi="Helvetica" w:cs="Arial"/>
          <w:sz w:val="20"/>
          <w:lang w:val="lt-LT"/>
        </w:rPr>
        <w:t xml:space="preserve"> CDR3, kurio aminorūgščių seka </w:t>
      </w:r>
      <w:r w:rsidR="00E82251" w:rsidRPr="00327FF7">
        <w:rPr>
          <w:rFonts w:ascii="Helvetica" w:hAnsi="Helvetica" w:cs="Arial"/>
          <w:sz w:val="20"/>
          <w:lang w:val="lt-LT"/>
        </w:rPr>
        <w:t xml:space="preserve">yra </w:t>
      </w:r>
      <w:r w:rsidRPr="00327FF7">
        <w:rPr>
          <w:rFonts w:ascii="Helvetica" w:hAnsi="Helvetica" w:cs="Arial"/>
          <w:sz w:val="20"/>
          <w:lang w:val="lt-LT"/>
        </w:rPr>
        <w:t>QQSREYPWT (SEQ ID Nr. 18; 34D03-VL-CDR3).</w:t>
      </w:r>
    </w:p>
    <w:p w14:paraId="1A642551" w14:textId="77777777" w:rsidR="00E82251" w:rsidRPr="00327FF7" w:rsidRDefault="00E82251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123F0F" w14:textId="1D3E7E53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2.</w:t>
      </w:r>
      <w:r w:rsidR="00E82251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 pagal 1 punktą, kur 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327FF7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antikūnas.</w:t>
      </w:r>
    </w:p>
    <w:p w14:paraId="4BBA5E33" w14:textId="77777777" w:rsidR="00E82251" w:rsidRPr="00327FF7" w:rsidRDefault="00E82251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B603F5" w14:textId="24C99926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3.</w:t>
      </w:r>
      <w:r w:rsidR="00E82251" w:rsidRPr="00327FF7">
        <w:rPr>
          <w:rFonts w:ascii="Helvetica" w:hAnsi="Helvetica" w:cs="Arial"/>
          <w:sz w:val="20"/>
          <w:lang w:val="lt-LT"/>
        </w:rPr>
        <w:t xml:space="preserve"> Antikūnas arba antigeną surišanti jo dalis pagal </w:t>
      </w:r>
      <w:r w:rsidRPr="00327FF7">
        <w:rPr>
          <w:rFonts w:ascii="Helvetica" w:hAnsi="Helvetica" w:cs="Arial"/>
          <w:sz w:val="20"/>
          <w:lang w:val="lt-LT"/>
        </w:rPr>
        <w:t>1 arba 2 punkt</w:t>
      </w:r>
      <w:r w:rsidR="00E82251" w:rsidRPr="00327FF7">
        <w:rPr>
          <w:rFonts w:ascii="Helvetica" w:hAnsi="Helvetica" w:cs="Arial"/>
          <w:sz w:val="20"/>
          <w:lang w:val="lt-LT"/>
        </w:rPr>
        <w:t>ą</w:t>
      </w:r>
      <w:r w:rsidRPr="00327FF7">
        <w:rPr>
          <w:rFonts w:ascii="Helvetica" w:hAnsi="Helvetica" w:cs="Arial"/>
          <w:sz w:val="20"/>
          <w:lang w:val="lt-LT"/>
        </w:rPr>
        <w:t xml:space="preserve"> </w:t>
      </w:r>
      <w:r w:rsidR="00E82251" w:rsidRPr="00327FF7">
        <w:rPr>
          <w:rFonts w:ascii="Helvetica" w:hAnsi="Helvetica" w:cs="Arial"/>
          <w:sz w:val="20"/>
          <w:lang w:val="lt-LT"/>
        </w:rPr>
        <w:t>kur antikūnas arba antigeną surišanti jo dalis yra</w:t>
      </w:r>
      <w:r w:rsidRPr="00327FF7">
        <w:rPr>
          <w:rFonts w:ascii="Helvetica" w:hAnsi="Helvetica" w:cs="Arial"/>
          <w:sz w:val="20"/>
          <w:lang w:val="lt-LT"/>
        </w:rPr>
        <w:t xml:space="preserve"> chimerin</w:t>
      </w:r>
      <w:r w:rsidR="00E82251" w:rsidRPr="00327FF7">
        <w:rPr>
          <w:rFonts w:ascii="Helvetica" w:hAnsi="Helvetica" w:cs="Arial"/>
          <w:sz w:val="20"/>
          <w:lang w:val="lt-LT"/>
        </w:rPr>
        <w:t>is</w:t>
      </w:r>
      <w:r w:rsidRPr="00327FF7">
        <w:rPr>
          <w:rFonts w:ascii="Helvetica" w:hAnsi="Helvetica" w:cs="Arial"/>
          <w:sz w:val="20"/>
          <w:lang w:val="lt-LT"/>
        </w:rPr>
        <w:t>.</w:t>
      </w:r>
    </w:p>
    <w:p w14:paraId="0EEAC0D3" w14:textId="77777777" w:rsidR="00E82251" w:rsidRPr="00327FF7" w:rsidRDefault="00E82251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874FD7" w14:textId="61CD4881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4.</w:t>
      </w:r>
      <w:r w:rsidR="00E82251" w:rsidRPr="00327FF7">
        <w:rPr>
          <w:rFonts w:ascii="Helvetica" w:hAnsi="Helvetica" w:cs="Arial"/>
          <w:sz w:val="20"/>
          <w:lang w:val="lt-LT"/>
        </w:rPr>
        <w:t xml:space="preserve"> Antikūnas arba antigeną surišanti jo dalis pagal 1 arba 2 punktą kur antikūnas arba antigeną surišanti jo dalis yra</w:t>
      </w:r>
      <w:r w:rsidRPr="00327F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27FF7">
        <w:rPr>
          <w:rFonts w:ascii="Helvetica" w:hAnsi="Helvetica" w:cs="Arial"/>
          <w:sz w:val="20"/>
          <w:lang w:val="lt-LT"/>
        </w:rPr>
        <w:t>kaninizuota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proofErr w:type="spellEnd"/>
      <w:r w:rsidRPr="00327FF7">
        <w:rPr>
          <w:rFonts w:ascii="Helvetica" w:hAnsi="Helvetica" w:cs="Arial"/>
          <w:sz w:val="20"/>
          <w:lang w:val="lt-LT"/>
        </w:rPr>
        <w:t>.</w:t>
      </w:r>
    </w:p>
    <w:p w14:paraId="522C4D92" w14:textId="77777777" w:rsidR="00E82251" w:rsidRPr="00327FF7" w:rsidRDefault="00E82251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880FB0" w14:textId="385790CD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5.</w:t>
      </w:r>
      <w:r w:rsidR="00E82251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 pagal bet kurį</w:t>
      </w:r>
      <w:r w:rsidR="00E82251" w:rsidRPr="00327FF7">
        <w:rPr>
          <w:rFonts w:ascii="Helvetica" w:hAnsi="Helvetica" w:cs="Arial"/>
          <w:sz w:val="20"/>
          <w:lang w:val="lt-LT"/>
        </w:rPr>
        <w:t xml:space="preserve"> vieną</w:t>
      </w:r>
      <w:r w:rsidRPr="00327FF7">
        <w:rPr>
          <w:rFonts w:ascii="Helvetica" w:hAnsi="Helvetica" w:cs="Arial"/>
          <w:sz w:val="20"/>
          <w:lang w:val="lt-LT"/>
        </w:rPr>
        <w:t xml:space="preserve"> iš 1–4 punktų, kur 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 slopina IL-31 </w:t>
      </w:r>
      <w:r w:rsidR="00E82251" w:rsidRPr="00327FF7">
        <w:rPr>
          <w:rFonts w:ascii="Helvetica" w:hAnsi="Helvetica" w:cs="Arial"/>
          <w:sz w:val="20"/>
          <w:lang w:val="lt-LT"/>
        </w:rPr>
        <w:t>nulemtą</w:t>
      </w:r>
      <w:r w:rsidRPr="00327F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27FF7">
        <w:rPr>
          <w:rFonts w:ascii="Helvetica" w:hAnsi="Helvetica" w:cs="Arial"/>
          <w:sz w:val="20"/>
          <w:lang w:val="lt-LT"/>
        </w:rPr>
        <w:t>pSTAT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signal</w:t>
      </w:r>
      <w:r w:rsidR="00E82251" w:rsidRPr="00327FF7">
        <w:rPr>
          <w:rFonts w:ascii="Helvetica" w:hAnsi="Helvetica" w:cs="Arial"/>
          <w:sz w:val="20"/>
          <w:lang w:val="lt-LT"/>
        </w:rPr>
        <w:t>o perdavimą</w:t>
      </w:r>
      <w:r w:rsidRPr="00327FF7">
        <w:rPr>
          <w:rFonts w:ascii="Helvetica" w:hAnsi="Helvetica" w:cs="Arial"/>
          <w:sz w:val="20"/>
          <w:lang w:val="lt-LT"/>
        </w:rPr>
        <w:t xml:space="preserve"> ląstel</w:t>
      </w:r>
      <w:r w:rsidR="00E82251" w:rsidRPr="00327FF7">
        <w:rPr>
          <w:rFonts w:ascii="Helvetica" w:hAnsi="Helvetica" w:cs="Arial"/>
          <w:sz w:val="20"/>
          <w:lang w:val="lt-LT"/>
        </w:rPr>
        <w:t>iniame</w:t>
      </w:r>
      <w:r w:rsidRPr="00327FF7">
        <w:rPr>
          <w:rFonts w:ascii="Helvetica" w:hAnsi="Helvetica" w:cs="Arial"/>
          <w:sz w:val="20"/>
          <w:lang w:val="lt-LT"/>
        </w:rPr>
        <w:t xml:space="preserve"> tyrime.</w:t>
      </w:r>
    </w:p>
    <w:p w14:paraId="314B75B0" w14:textId="77777777" w:rsidR="00E82251" w:rsidRPr="00327FF7" w:rsidRDefault="00E82251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38A51B" w14:textId="6DBA7E49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6.</w:t>
      </w:r>
      <w:r w:rsidR="00E82251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 </w:t>
      </w:r>
      <w:r w:rsidR="00E82251" w:rsidRPr="00327FF7">
        <w:rPr>
          <w:rFonts w:ascii="Helvetica" w:hAnsi="Helvetica" w:cs="Arial"/>
          <w:sz w:val="20"/>
          <w:lang w:val="lt-LT"/>
        </w:rPr>
        <w:t>pagal bet kurį vieną iš</w:t>
      </w:r>
      <w:r w:rsidRPr="00327FF7">
        <w:rPr>
          <w:rFonts w:ascii="Helvetica" w:hAnsi="Helvetica" w:cs="Arial"/>
          <w:sz w:val="20"/>
          <w:lang w:val="lt-LT"/>
        </w:rPr>
        <w:t xml:space="preserve"> 1–5 punktų, kur antikūnas apima </w:t>
      </w:r>
      <w:r w:rsidR="00E82251" w:rsidRPr="00327FF7">
        <w:rPr>
          <w:rFonts w:ascii="Helvetica" w:hAnsi="Helvetica" w:cs="Arial"/>
          <w:sz w:val="20"/>
          <w:lang w:val="lt-LT"/>
        </w:rPr>
        <w:t>mažiausiai</w:t>
      </w:r>
      <w:r w:rsidRPr="00327FF7">
        <w:rPr>
          <w:rFonts w:ascii="Helvetica" w:hAnsi="Helvetica" w:cs="Arial"/>
          <w:sz w:val="20"/>
          <w:lang w:val="lt-LT"/>
        </w:rPr>
        <w:t xml:space="preserve"> vieną iš grupės, susidedančios iš:</w:t>
      </w:r>
    </w:p>
    <w:p w14:paraId="2A22C32B" w14:textId="3E59A8F1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a) kintam</w:t>
      </w:r>
      <w:r w:rsidR="00E82251" w:rsidRPr="00327FF7">
        <w:rPr>
          <w:rFonts w:ascii="Helvetica" w:hAnsi="Helvetica" w:cs="Arial"/>
          <w:sz w:val="20"/>
          <w:lang w:val="lt-LT"/>
        </w:rPr>
        <w:t>os</w:t>
      </w:r>
      <w:r w:rsidRPr="00327FF7">
        <w:rPr>
          <w:rFonts w:ascii="Helvetica" w:hAnsi="Helvetica" w:cs="Arial"/>
          <w:sz w:val="20"/>
          <w:lang w:val="lt-LT"/>
        </w:rPr>
        <w:t xml:space="preserve"> lengvo</w:t>
      </w:r>
      <w:r w:rsidR="00E82251" w:rsidRPr="00327FF7">
        <w:rPr>
          <w:rFonts w:ascii="Helvetica" w:hAnsi="Helvetica" w:cs="Arial"/>
          <w:sz w:val="20"/>
          <w:lang w:val="lt-LT"/>
        </w:rPr>
        <w:t>sios</w:t>
      </w:r>
      <w:r w:rsidRPr="00327FF7">
        <w:rPr>
          <w:rFonts w:ascii="Helvetica" w:hAnsi="Helvetica" w:cs="Arial"/>
          <w:sz w:val="20"/>
          <w:lang w:val="lt-LT"/>
        </w:rPr>
        <w:t xml:space="preserve"> grandinė</w:t>
      </w:r>
      <w:r w:rsidR="00E82251" w:rsidRPr="00327FF7">
        <w:rPr>
          <w:rFonts w:ascii="Helvetica" w:hAnsi="Helvetica" w:cs="Arial"/>
          <w:sz w:val="20"/>
          <w:lang w:val="lt-LT"/>
        </w:rPr>
        <w:t>s</w:t>
      </w:r>
      <w:r w:rsidRPr="00327FF7">
        <w:rPr>
          <w:rFonts w:ascii="Helvetica" w:hAnsi="Helvetica" w:cs="Arial"/>
          <w:sz w:val="20"/>
          <w:lang w:val="lt-LT"/>
        </w:rPr>
        <w:t>, apiman</w:t>
      </w:r>
      <w:r w:rsidR="00E82251" w:rsidRPr="00327FF7">
        <w:rPr>
          <w:rFonts w:ascii="Helvetica" w:hAnsi="Helvetica" w:cs="Arial"/>
          <w:sz w:val="20"/>
          <w:lang w:val="lt-LT"/>
        </w:rPr>
        <w:t>čios</w:t>
      </w:r>
    </w:p>
    <w:p w14:paraId="1F1C5F8D" w14:textId="4AFE5441" w:rsidR="00E82251" w:rsidRPr="00327FF7" w:rsidRDefault="00000000" w:rsidP="00327FF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/>
          <w:noProof/>
          <w:sz w:val="20"/>
          <w:lang w:val="lt-LT"/>
        </w:rPr>
        <w:pict w14:anchorId="19029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94.8pt;height:48.9pt;visibility:visible;mso-wrap-style:square">
            <v:imagedata r:id="rId6" o:title=""/>
          </v:shape>
        </w:pict>
      </w:r>
    </w:p>
    <w:p w14:paraId="4D5240A1" w14:textId="16782745" w:rsidR="00E82251" w:rsidRPr="00327FF7" w:rsidRDefault="00E82251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arba</w:t>
      </w:r>
    </w:p>
    <w:p w14:paraId="25360625" w14:textId="21DA1AA8" w:rsidR="00E82251" w:rsidRPr="00327FF7" w:rsidRDefault="00000000" w:rsidP="00327FF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/>
          <w:noProof/>
          <w:sz w:val="20"/>
          <w:lang w:val="lt-LT"/>
        </w:rPr>
        <w:pict w14:anchorId="6BD03E8B">
          <v:shape id="_x0000_i1026" type="#_x0000_t75" style="width:494.8pt;height:57.6pt;visibility:visible;mso-wrap-style:square">
            <v:imagedata r:id="rId7" o:title=""/>
          </v:shape>
        </w:pict>
      </w:r>
    </w:p>
    <w:p w14:paraId="1C5DC6BC" w14:textId="678645F0" w:rsidR="00E82251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 xml:space="preserve">b) </w:t>
      </w:r>
      <w:r w:rsidR="00E82251" w:rsidRPr="00327FF7">
        <w:rPr>
          <w:rFonts w:ascii="Helvetica" w:hAnsi="Helvetica" w:cs="Arial"/>
          <w:sz w:val="20"/>
          <w:lang w:val="lt-LT"/>
        </w:rPr>
        <w:t>kintamos sunkiosios grandinės, apimančios</w:t>
      </w:r>
      <w:r w:rsidRPr="00327FF7">
        <w:rPr>
          <w:rFonts w:ascii="Helvetica" w:hAnsi="Helvetica" w:cs="Arial"/>
          <w:sz w:val="20"/>
          <w:lang w:val="lt-LT"/>
        </w:rPr>
        <w:t xml:space="preserve"> </w:t>
      </w:r>
    </w:p>
    <w:p w14:paraId="455371F2" w14:textId="5FDDD83A" w:rsidR="00E82251" w:rsidRPr="00327FF7" w:rsidRDefault="00000000" w:rsidP="00327FF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/>
          <w:noProof/>
          <w:sz w:val="20"/>
          <w:lang w:val="lt-LT"/>
        </w:rPr>
        <w:pict w14:anchorId="3C7B31F7">
          <v:shape id="_x0000_i1027" type="#_x0000_t75" style="width:495.3pt;height:62.05pt;visibility:visible;mso-wrap-style:square">
            <v:imagedata r:id="rId8" o:title=""/>
          </v:shape>
        </w:pict>
      </w:r>
    </w:p>
    <w:p w14:paraId="12A6119B" w14:textId="549DD078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arba</w:t>
      </w:r>
    </w:p>
    <w:p w14:paraId="5E83A402" w14:textId="6DFEF8C1" w:rsidR="00FA0DC7" w:rsidRPr="00327FF7" w:rsidRDefault="00000000" w:rsidP="00327FF7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/>
          <w:noProof/>
          <w:sz w:val="20"/>
          <w:lang w:val="lt-LT"/>
        </w:rPr>
        <w:pict w14:anchorId="2212A358">
          <v:shape id="_x0000_i1028" type="#_x0000_t75" style="width:494.8pt;height:60.6pt;visibility:visible;mso-wrap-style:square">
            <v:imagedata r:id="rId9" o:title=""/>
          </v:shape>
        </w:pict>
      </w:r>
    </w:p>
    <w:p w14:paraId="25253107" w14:textId="4A3CE90B" w:rsidR="00FA0DC7" w:rsidRPr="00327FF7" w:rsidRDefault="00FA0DC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arba</w:t>
      </w:r>
    </w:p>
    <w:p w14:paraId="07FE17A4" w14:textId="04A734CE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lastRenderedPageBreak/>
        <w:t xml:space="preserve">c) </w:t>
      </w:r>
      <w:r w:rsidR="00FA0DC7" w:rsidRPr="00327FF7">
        <w:rPr>
          <w:rFonts w:ascii="Helvetica" w:hAnsi="Helvetica" w:cs="Arial"/>
          <w:sz w:val="20"/>
          <w:lang w:val="lt-LT"/>
        </w:rPr>
        <w:t xml:space="preserve">punktų </w:t>
      </w:r>
      <w:r w:rsidRPr="00327FF7">
        <w:rPr>
          <w:rFonts w:ascii="Helvetica" w:hAnsi="Helvetica" w:cs="Arial"/>
          <w:sz w:val="20"/>
          <w:lang w:val="lt-LT"/>
        </w:rPr>
        <w:t>(a) ir (arba) (b) variantai, turintys vieną ar</w:t>
      </w:r>
      <w:r w:rsidR="00FA0DC7" w:rsidRPr="00327FF7">
        <w:rPr>
          <w:rFonts w:ascii="Helvetica" w:hAnsi="Helvetica" w:cs="Arial"/>
          <w:sz w:val="20"/>
          <w:lang w:val="lt-LT"/>
        </w:rPr>
        <w:t>ba</w:t>
      </w:r>
      <w:r w:rsidRPr="00327FF7">
        <w:rPr>
          <w:rFonts w:ascii="Helvetica" w:hAnsi="Helvetica" w:cs="Arial"/>
          <w:sz w:val="20"/>
          <w:lang w:val="lt-LT"/>
        </w:rPr>
        <w:t xml:space="preserve"> daugiau konservatyvių aminorūgščių pakeitimų.</w:t>
      </w:r>
    </w:p>
    <w:p w14:paraId="567E2A26" w14:textId="77777777" w:rsidR="00FA0DC7" w:rsidRPr="00327FF7" w:rsidRDefault="00FA0DC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36A102" w14:textId="0CB2A349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7.</w:t>
      </w:r>
      <w:r w:rsidR="00FA0DC7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Veterinarinė kompozicija, apimanti </w:t>
      </w:r>
      <w:proofErr w:type="spellStart"/>
      <w:r w:rsidRPr="00327FF7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</w:t>
      </w:r>
      <w:r w:rsidR="00FA0DC7" w:rsidRPr="00327FF7">
        <w:rPr>
          <w:rFonts w:ascii="Helvetica" w:hAnsi="Helvetica" w:cs="Arial"/>
          <w:sz w:val="20"/>
          <w:lang w:val="lt-LT"/>
        </w:rPr>
        <w:t>veiksmingą</w:t>
      </w:r>
      <w:r w:rsidRPr="00327FF7">
        <w:rPr>
          <w:rFonts w:ascii="Helvetica" w:hAnsi="Helvetica" w:cs="Arial"/>
          <w:sz w:val="20"/>
          <w:lang w:val="lt-LT"/>
        </w:rPr>
        <w:t xml:space="preserve"> kiekį antikūno arba antigeną surišančios </w:t>
      </w:r>
      <w:r w:rsidR="00FA0DC7" w:rsidRPr="00327FF7">
        <w:rPr>
          <w:rFonts w:ascii="Helvetica" w:hAnsi="Helvetica" w:cs="Arial"/>
          <w:sz w:val="20"/>
          <w:lang w:val="lt-LT"/>
        </w:rPr>
        <w:t xml:space="preserve">jo </w:t>
      </w:r>
      <w:r w:rsidRPr="00327FF7">
        <w:rPr>
          <w:rFonts w:ascii="Helvetica" w:hAnsi="Helvetica" w:cs="Arial"/>
          <w:sz w:val="20"/>
          <w:lang w:val="lt-LT"/>
        </w:rPr>
        <w:t xml:space="preserve">dalies </w:t>
      </w:r>
      <w:r w:rsidR="00E82251" w:rsidRPr="00327FF7">
        <w:rPr>
          <w:rFonts w:ascii="Helvetica" w:hAnsi="Helvetica" w:cs="Arial"/>
          <w:sz w:val="20"/>
          <w:lang w:val="lt-LT"/>
        </w:rPr>
        <w:t>pagal bet kurį vieną iš</w:t>
      </w:r>
      <w:r w:rsidRPr="00327FF7">
        <w:rPr>
          <w:rFonts w:ascii="Helvetica" w:hAnsi="Helvetica" w:cs="Arial"/>
          <w:sz w:val="20"/>
          <w:lang w:val="lt-LT"/>
        </w:rPr>
        <w:t xml:space="preserve"> 1–6 punktų.</w:t>
      </w:r>
    </w:p>
    <w:p w14:paraId="6D51F1C5" w14:textId="77777777" w:rsidR="00FA0DC7" w:rsidRPr="00327FF7" w:rsidRDefault="00FA0DC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6F4F42" w14:textId="784A4D70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8.</w:t>
      </w:r>
      <w:r w:rsidR="00FA0DC7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Šeimininko ląstelė, kuri gamina antikūną arba antigeną surišančią </w:t>
      </w:r>
      <w:r w:rsidR="00F97CBA" w:rsidRPr="00327FF7">
        <w:rPr>
          <w:rFonts w:ascii="Helvetica" w:hAnsi="Helvetica" w:cs="Arial"/>
          <w:sz w:val="20"/>
          <w:lang w:val="lt-LT"/>
        </w:rPr>
        <w:t xml:space="preserve">jo </w:t>
      </w:r>
      <w:r w:rsidRPr="00327FF7">
        <w:rPr>
          <w:rFonts w:ascii="Helvetica" w:hAnsi="Helvetica" w:cs="Arial"/>
          <w:sz w:val="20"/>
          <w:lang w:val="lt-LT"/>
        </w:rPr>
        <w:t xml:space="preserve">dalį </w:t>
      </w:r>
      <w:r w:rsidR="00E82251" w:rsidRPr="00327FF7">
        <w:rPr>
          <w:rFonts w:ascii="Helvetica" w:hAnsi="Helvetica" w:cs="Arial"/>
          <w:sz w:val="20"/>
          <w:lang w:val="lt-LT"/>
        </w:rPr>
        <w:t>pagal bet kurį vieną iš</w:t>
      </w:r>
      <w:r w:rsidRPr="00327FF7">
        <w:rPr>
          <w:rFonts w:ascii="Helvetica" w:hAnsi="Helvetica" w:cs="Arial"/>
          <w:sz w:val="20"/>
          <w:lang w:val="lt-LT"/>
        </w:rPr>
        <w:t xml:space="preserve"> 1–6 punktų.</w:t>
      </w:r>
    </w:p>
    <w:p w14:paraId="1FA107DC" w14:textId="77777777" w:rsidR="00F97CBA" w:rsidRPr="00327FF7" w:rsidRDefault="00F97CBA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0D0C3A" w14:textId="251D2F0E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9.</w:t>
      </w:r>
      <w:r w:rsidR="00F97CBA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Izoliuota nukleorūgštis, koduojanti antikūną arba antigeną surišančią </w:t>
      </w:r>
      <w:r w:rsidR="00F97CBA" w:rsidRPr="00327FF7">
        <w:rPr>
          <w:rFonts w:ascii="Helvetica" w:hAnsi="Helvetica" w:cs="Arial"/>
          <w:sz w:val="20"/>
          <w:lang w:val="lt-LT"/>
        </w:rPr>
        <w:t xml:space="preserve">jo </w:t>
      </w:r>
      <w:r w:rsidRPr="00327FF7">
        <w:rPr>
          <w:rFonts w:ascii="Helvetica" w:hAnsi="Helvetica" w:cs="Arial"/>
          <w:sz w:val="20"/>
          <w:lang w:val="lt-LT"/>
        </w:rPr>
        <w:t xml:space="preserve">dalį </w:t>
      </w:r>
      <w:r w:rsidR="00E82251" w:rsidRPr="00327FF7">
        <w:rPr>
          <w:rFonts w:ascii="Helvetica" w:hAnsi="Helvetica" w:cs="Arial"/>
          <w:sz w:val="20"/>
          <w:lang w:val="lt-LT"/>
        </w:rPr>
        <w:t>pagal bet kurį vieną iš</w:t>
      </w:r>
      <w:r w:rsidRPr="00327FF7">
        <w:rPr>
          <w:rFonts w:ascii="Helvetica" w:hAnsi="Helvetica" w:cs="Arial"/>
          <w:sz w:val="20"/>
          <w:lang w:val="lt-LT"/>
        </w:rPr>
        <w:t xml:space="preserve"> 1–6 punktų, apimanti nukleorūgščių seką, koduojančią:</w:t>
      </w:r>
    </w:p>
    <w:p w14:paraId="419B0D7C" w14:textId="77777777" w:rsidR="00F97CBA" w:rsidRPr="00327FF7" w:rsidRDefault="00F97CBA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kintamos sunkiosios (V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H</w:t>
      </w:r>
      <w:r w:rsidRPr="00327FF7">
        <w:rPr>
          <w:rFonts w:ascii="Helvetica" w:hAnsi="Helvetica" w:cs="Arial"/>
          <w:sz w:val="20"/>
          <w:lang w:val="lt-LT"/>
        </w:rPr>
        <w:t xml:space="preserve">) grandinės </w:t>
      </w:r>
      <w:proofErr w:type="spellStart"/>
      <w:r w:rsidRPr="00327FF7">
        <w:rPr>
          <w:rFonts w:ascii="Helvetica" w:hAnsi="Helvetica" w:cs="Arial"/>
          <w:sz w:val="20"/>
          <w:lang w:val="lt-LT"/>
        </w:rPr>
        <w:t>komplementarumą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lemiančią sritį (CDR)1, kurios aminorūgščių seka yra NYGMS (SEQ ID Nr. 3; 34D03-VH-CDR1),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H</w:t>
      </w:r>
      <w:r w:rsidRPr="00327FF7">
        <w:rPr>
          <w:rFonts w:ascii="Helvetica" w:hAnsi="Helvetica" w:cs="Arial"/>
          <w:sz w:val="20"/>
          <w:lang w:val="lt-LT"/>
        </w:rPr>
        <w:t xml:space="preserve"> CDR2, kurios aminorūgščių seka yra TISYGGSYTYYPDNIKG (SEQ ID Nr. 6; 34D03-VH-CDR2), ir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H</w:t>
      </w:r>
      <w:r w:rsidRPr="00327FF7">
        <w:rPr>
          <w:rFonts w:ascii="Helvetica" w:hAnsi="Helvetica" w:cs="Arial"/>
          <w:sz w:val="20"/>
          <w:lang w:val="lt-LT"/>
        </w:rPr>
        <w:t xml:space="preserve"> CDR3, kurios aminorūgščių seka yra VRGYGYDTMDY (SEQ ID Nr. 9; 34D03-VH-CDR3); ir</w:t>
      </w:r>
    </w:p>
    <w:p w14:paraId="1601F63C" w14:textId="7F3AC6B1" w:rsidR="00BF2407" w:rsidRPr="00327FF7" w:rsidRDefault="00F97CBA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kintama lengvoji (V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L</w:t>
      </w:r>
      <w:r w:rsidRPr="00327FF7">
        <w:rPr>
          <w:rFonts w:ascii="Helvetica" w:hAnsi="Helvetica" w:cs="Arial"/>
          <w:sz w:val="20"/>
          <w:lang w:val="lt-LT"/>
        </w:rPr>
        <w:t xml:space="preserve">) grandinė, apimanti </w:t>
      </w:r>
      <w:proofErr w:type="spellStart"/>
      <w:r w:rsidRPr="00327FF7">
        <w:rPr>
          <w:rFonts w:ascii="Helvetica" w:hAnsi="Helvetica" w:cs="Arial"/>
          <w:sz w:val="20"/>
          <w:lang w:val="lt-LT"/>
        </w:rPr>
        <w:t>komplementarumą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lemiančią sritį (CDR) 1, kurios aminorūgščių seka yra KASQSVSFAGTGLMH (SEQ ID Nr. 12; 34D03-VL-CDR1),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L</w:t>
      </w:r>
      <w:r w:rsidRPr="00327FF7">
        <w:rPr>
          <w:rFonts w:ascii="Helvetica" w:hAnsi="Helvetica" w:cs="Arial"/>
          <w:sz w:val="20"/>
          <w:lang w:val="lt-LT"/>
        </w:rPr>
        <w:t xml:space="preserve"> CDR2, kurios aminorūgščių seka yra RASNLEA (SEQ ID Nr. 15; 34D03-VL-CDR2), ir V</w:t>
      </w:r>
      <w:r w:rsidRPr="00327FF7">
        <w:rPr>
          <w:rFonts w:ascii="Helvetica" w:hAnsi="Helvetica" w:cs="Arial"/>
          <w:sz w:val="20"/>
          <w:vertAlign w:val="subscript"/>
          <w:lang w:val="lt-LT"/>
        </w:rPr>
        <w:t>L</w:t>
      </w:r>
      <w:r w:rsidRPr="00327FF7">
        <w:rPr>
          <w:rFonts w:ascii="Helvetica" w:hAnsi="Helvetica" w:cs="Arial"/>
          <w:sz w:val="20"/>
          <w:lang w:val="lt-LT"/>
        </w:rPr>
        <w:t xml:space="preserve"> CDR3, kurio aminorūgščių seka yra QQSREYPWT (SEQ ID Nr. 18; 34D03-VL-CDR3)</w:t>
      </w:r>
      <w:r w:rsidR="00AB425C">
        <w:rPr>
          <w:rFonts w:ascii="Helvetica" w:hAnsi="Helvetica" w:cs="Arial"/>
          <w:sz w:val="20"/>
          <w:lang w:val="lt-LT"/>
        </w:rPr>
        <w:t>.</w:t>
      </w:r>
    </w:p>
    <w:p w14:paraId="0A20DBA3" w14:textId="77777777" w:rsidR="00F97CBA" w:rsidRPr="00327FF7" w:rsidRDefault="00F97CBA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84BC52" w14:textId="49F3E45F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10.</w:t>
      </w:r>
      <w:r w:rsidR="00F97CBA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Vektorius, apimantis </w:t>
      </w:r>
      <w:r w:rsidR="00F97CBA" w:rsidRPr="00327FF7">
        <w:rPr>
          <w:rFonts w:ascii="Helvetica" w:hAnsi="Helvetica" w:cs="Arial"/>
          <w:sz w:val="20"/>
          <w:lang w:val="lt-LT"/>
        </w:rPr>
        <w:t xml:space="preserve">nukleorūgštį pagal </w:t>
      </w:r>
      <w:r w:rsidRPr="00327FF7">
        <w:rPr>
          <w:rFonts w:ascii="Helvetica" w:hAnsi="Helvetica" w:cs="Arial"/>
          <w:sz w:val="20"/>
          <w:lang w:val="lt-LT"/>
        </w:rPr>
        <w:t>9 punktą.</w:t>
      </w:r>
    </w:p>
    <w:p w14:paraId="0BE77714" w14:textId="77777777" w:rsidR="00F97CBA" w:rsidRPr="00327FF7" w:rsidRDefault="00F97CBA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7583A9" w14:textId="2351613B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11.</w:t>
      </w:r>
      <w:r w:rsidR="00F97CBA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Antikūno arba antigeną surišančios </w:t>
      </w:r>
      <w:r w:rsidR="00014A7B" w:rsidRPr="00327FF7">
        <w:rPr>
          <w:rFonts w:ascii="Helvetica" w:hAnsi="Helvetica" w:cs="Arial"/>
          <w:sz w:val="20"/>
          <w:lang w:val="lt-LT"/>
        </w:rPr>
        <w:t xml:space="preserve">jo </w:t>
      </w:r>
      <w:r w:rsidRPr="00327FF7">
        <w:rPr>
          <w:rFonts w:ascii="Helvetica" w:hAnsi="Helvetica" w:cs="Arial"/>
          <w:sz w:val="20"/>
          <w:lang w:val="lt-LT"/>
        </w:rPr>
        <w:t xml:space="preserve">dalies gamybos </w:t>
      </w:r>
      <w:r w:rsidR="00014A7B" w:rsidRPr="00327FF7">
        <w:rPr>
          <w:rFonts w:ascii="Helvetica" w:hAnsi="Helvetica" w:cs="Arial"/>
          <w:sz w:val="20"/>
          <w:lang w:val="lt-LT"/>
        </w:rPr>
        <w:t>bū</w:t>
      </w:r>
      <w:r w:rsidRPr="00327FF7">
        <w:rPr>
          <w:rFonts w:ascii="Helvetica" w:hAnsi="Helvetica" w:cs="Arial"/>
          <w:sz w:val="20"/>
          <w:lang w:val="lt-LT"/>
        </w:rPr>
        <w:t xml:space="preserve">das, apimantis </w:t>
      </w:r>
      <w:r w:rsidR="00014A7B" w:rsidRPr="00327FF7">
        <w:rPr>
          <w:rFonts w:ascii="Helvetica" w:hAnsi="Helvetica" w:cs="Arial"/>
          <w:sz w:val="20"/>
          <w:lang w:val="lt-LT"/>
        </w:rPr>
        <w:t xml:space="preserve">šeimininko ląstelės pagal </w:t>
      </w:r>
      <w:r w:rsidRPr="00327FF7">
        <w:rPr>
          <w:rFonts w:ascii="Helvetica" w:hAnsi="Helvetica" w:cs="Arial"/>
          <w:sz w:val="20"/>
          <w:lang w:val="lt-LT"/>
        </w:rPr>
        <w:t>8 punkt</w:t>
      </w:r>
      <w:r w:rsidR="00014A7B" w:rsidRPr="00327FF7">
        <w:rPr>
          <w:rFonts w:ascii="Helvetica" w:hAnsi="Helvetica" w:cs="Arial"/>
          <w:sz w:val="20"/>
          <w:lang w:val="lt-LT"/>
        </w:rPr>
        <w:t>ą</w:t>
      </w:r>
      <w:r w:rsidRPr="00327FF7">
        <w:rPr>
          <w:rFonts w:ascii="Helvetica" w:hAnsi="Helvetica" w:cs="Arial"/>
          <w:sz w:val="20"/>
          <w:lang w:val="lt-LT"/>
        </w:rPr>
        <w:t xml:space="preserve"> kultivavimą</w:t>
      </w:r>
      <w:r w:rsidR="00014A7B" w:rsidRPr="00327FF7">
        <w:rPr>
          <w:rFonts w:ascii="Helvetica" w:hAnsi="Helvetica" w:cs="Arial"/>
          <w:sz w:val="20"/>
          <w:lang w:val="lt-LT"/>
        </w:rPr>
        <w:t>, esant</w:t>
      </w:r>
      <w:r w:rsidRPr="00327FF7">
        <w:rPr>
          <w:rFonts w:ascii="Helvetica" w:hAnsi="Helvetica" w:cs="Arial"/>
          <w:sz w:val="20"/>
          <w:lang w:val="lt-LT"/>
        </w:rPr>
        <w:t xml:space="preserve"> sąlygomis, kurios </w:t>
      </w:r>
      <w:r w:rsidR="00014A7B" w:rsidRPr="00327FF7">
        <w:rPr>
          <w:rFonts w:ascii="Helvetica" w:hAnsi="Helvetica" w:cs="Arial"/>
          <w:sz w:val="20"/>
          <w:lang w:val="lt-LT"/>
        </w:rPr>
        <w:t>nu</w:t>
      </w:r>
      <w:r w:rsidRPr="00327FF7">
        <w:rPr>
          <w:rFonts w:ascii="Helvetica" w:hAnsi="Helvetica" w:cs="Arial"/>
          <w:sz w:val="20"/>
          <w:lang w:val="lt-LT"/>
        </w:rPr>
        <w:t xml:space="preserve">lemia antikūno arba antigeną surišančios </w:t>
      </w:r>
      <w:r w:rsidR="00014A7B" w:rsidRPr="00327FF7">
        <w:rPr>
          <w:rFonts w:ascii="Helvetica" w:hAnsi="Helvetica" w:cs="Arial"/>
          <w:sz w:val="20"/>
          <w:lang w:val="lt-LT"/>
        </w:rPr>
        <w:t xml:space="preserve">jo </w:t>
      </w:r>
      <w:r w:rsidRPr="00327FF7">
        <w:rPr>
          <w:rFonts w:ascii="Helvetica" w:hAnsi="Helvetica" w:cs="Arial"/>
          <w:sz w:val="20"/>
          <w:lang w:val="lt-LT"/>
        </w:rPr>
        <w:t xml:space="preserve">dalies gamybą, ir antikūno arba antigeną surišančios </w:t>
      </w:r>
      <w:r w:rsidR="00014A7B" w:rsidRPr="00327FF7">
        <w:rPr>
          <w:rFonts w:ascii="Helvetica" w:hAnsi="Helvetica" w:cs="Arial"/>
          <w:sz w:val="20"/>
          <w:lang w:val="lt-LT"/>
        </w:rPr>
        <w:t xml:space="preserve">jo </w:t>
      </w:r>
      <w:r w:rsidRPr="00327FF7">
        <w:rPr>
          <w:rFonts w:ascii="Helvetica" w:hAnsi="Helvetica" w:cs="Arial"/>
          <w:sz w:val="20"/>
          <w:lang w:val="lt-LT"/>
        </w:rPr>
        <w:t>dalies išskyrimą iš šeiminink</w:t>
      </w:r>
      <w:r w:rsidR="00014A7B" w:rsidRPr="00327FF7">
        <w:rPr>
          <w:rFonts w:ascii="Helvetica" w:hAnsi="Helvetica" w:cs="Arial"/>
          <w:sz w:val="20"/>
          <w:lang w:val="lt-LT"/>
        </w:rPr>
        <w:t>o</w:t>
      </w:r>
      <w:r w:rsidRPr="00327FF7">
        <w:rPr>
          <w:rFonts w:ascii="Helvetica" w:hAnsi="Helvetica" w:cs="Arial"/>
          <w:sz w:val="20"/>
          <w:lang w:val="lt-LT"/>
        </w:rPr>
        <w:t xml:space="preserve"> ląstelės arba šeiminink</w:t>
      </w:r>
      <w:r w:rsidR="00014A7B" w:rsidRPr="00327FF7">
        <w:rPr>
          <w:rFonts w:ascii="Helvetica" w:hAnsi="Helvetica" w:cs="Arial"/>
          <w:sz w:val="20"/>
          <w:lang w:val="lt-LT"/>
        </w:rPr>
        <w:t>o</w:t>
      </w:r>
      <w:r w:rsidRPr="00327FF7">
        <w:rPr>
          <w:rFonts w:ascii="Helvetica" w:hAnsi="Helvetica" w:cs="Arial"/>
          <w:sz w:val="20"/>
          <w:lang w:val="lt-LT"/>
        </w:rPr>
        <w:t xml:space="preserve"> ląstelės kultūros terpės.</w:t>
      </w:r>
    </w:p>
    <w:p w14:paraId="537CA1C1" w14:textId="77777777" w:rsidR="00014A7B" w:rsidRPr="00327FF7" w:rsidRDefault="00014A7B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67113B" w14:textId="05C76C85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12.</w:t>
      </w:r>
      <w:r w:rsidR="00014A7B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 </w:t>
      </w:r>
      <w:r w:rsidR="00E82251" w:rsidRPr="00327FF7">
        <w:rPr>
          <w:rFonts w:ascii="Helvetica" w:hAnsi="Helvetica" w:cs="Arial"/>
          <w:sz w:val="20"/>
          <w:lang w:val="lt-LT"/>
        </w:rPr>
        <w:t>pagal bet kurį vieną iš</w:t>
      </w:r>
      <w:r w:rsidRPr="00327FF7">
        <w:rPr>
          <w:rFonts w:ascii="Helvetica" w:hAnsi="Helvetica" w:cs="Arial"/>
          <w:sz w:val="20"/>
          <w:lang w:val="lt-LT"/>
        </w:rPr>
        <w:t xml:space="preserve"> 1–6 punktų, skirti panaudoti </w:t>
      </w:r>
      <w:r w:rsidR="00014A7B" w:rsidRPr="00327FF7">
        <w:rPr>
          <w:rFonts w:ascii="Helvetica" w:hAnsi="Helvetica" w:cs="Arial"/>
          <w:sz w:val="20"/>
          <w:lang w:val="lt-LT"/>
        </w:rPr>
        <w:t xml:space="preserve">šuns </w:t>
      </w:r>
      <w:r w:rsidRPr="00327FF7">
        <w:rPr>
          <w:rFonts w:ascii="Helvetica" w:hAnsi="Helvetica" w:cs="Arial"/>
          <w:sz w:val="20"/>
          <w:lang w:val="lt-LT"/>
        </w:rPr>
        <w:t>niež</w:t>
      </w:r>
      <w:r w:rsidR="00014A7B" w:rsidRPr="00327FF7">
        <w:rPr>
          <w:rFonts w:ascii="Helvetica" w:hAnsi="Helvetica" w:cs="Arial"/>
          <w:sz w:val="20"/>
          <w:lang w:val="lt-LT"/>
        </w:rPr>
        <w:t>ulio</w:t>
      </w:r>
      <w:r w:rsidRPr="00327FF7">
        <w:rPr>
          <w:rFonts w:ascii="Helvetica" w:hAnsi="Helvetica" w:cs="Arial"/>
          <w:sz w:val="20"/>
          <w:lang w:val="lt-LT"/>
        </w:rPr>
        <w:t xml:space="preserve"> būklės gydymui.</w:t>
      </w:r>
    </w:p>
    <w:p w14:paraId="49EC4EAF" w14:textId="77777777" w:rsidR="00014A7B" w:rsidRPr="00327FF7" w:rsidRDefault="00014A7B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71250B" w14:textId="73C97FEC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13.</w:t>
      </w:r>
      <w:r w:rsidR="00014A7B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, </w:t>
      </w:r>
      <w:r w:rsidR="00014A7B" w:rsidRPr="00327FF7">
        <w:rPr>
          <w:rFonts w:ascii="Helvetica" w:hAnsi="Helvetica" w:cs="Arial"/>
          <w:sz w:val="20"/>
          <w:lang w:val="lt-LT"/>
        </w:rPr>
        <w:t>skirti panaudoti</w:t>
      </w:r>
      <w:r w:rsidRPr="00327FF7">
        <w:rPr>
          <w:rFonts w:ascii="Helvetica" w:hAnsi="Helvetica" w:cs="Arial"/>
          <w:sz w:val="20"/>
          <w:lang w:val="lt-LT"/>
        </w:rPr>
        <w:t xml:space="preserve"> pagal 12 punktą, kur niežulį sukelianti būklė yra pasirinkta iš grupės, susidedančios iš atopinio dermatito, egzemos, psoriazės, </w:t>
      </w:r>
      <w:proofErr w:type="spellStart"/>
      <w:r w:rsidRPr="00327FF7">
        <w:rPr>
          <w:rFonts w:ascii="Helvetica" w:hAnsi="Helvetica" w:cs="Arial"/>
          <w:sz w:val="20"/>
          <w:lang w:val="lt-LT"/>
        </w:rPr>
        <w:t>sklerodermijos</w:t>
      </w:r>
      <w:proofErr w:type="spellEnd"/>
      <w:r w:rsidRPr="00327FF7">
        <w:rPr>
          <w:rFonts w:ascii="Helvetica" w:hAnsi="Helvetica" w:cs="Arial"/>
          <w:sz w:val="20"/>
          <w:lang w:val="lt-LT"/>
        </w:rPr>
        <w:t xml:space="preserve"> ir niežulio, pageidautina, k</w:t>
      </w:r>
      <w:r w:rsidR="00014A7B" w:rsidRPr="00327FF7">
        <w:rPr>
          <w:rFonts w:ascii="Helvetica" w:hAnsi="Helvetica" w:cs="Arial"/>
          <w:sz w:val="20"/>
          <w:lang w:val="lt-LT"/>
        </w:rPr>
        <w:t>ur</w:t>
      </w:r>
      <w:r w:rsidRPr="00327FF7">
        <w:rPr>
          <w:rFonts w:ascii="Helvetica" w:hAnsi="Helvetica" w:cs="Arial"/>
          <w:sz w:val="20"/>
          <w:lang w:val="lt-LT"/>
        </w:rPr>
        <w:t xml:space="preserve"> niežulį sukelianti būklė yra atopinis dermatitas.</w:t>
      </w:r>
    </w:p>
    <w:p w14:paraId="1FDB1131" w14:textId="77777777" w:rsidR="00014A7B" w:rsidRPr="00327FF7" w:rsidRDefault="00014A7B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D1B7DC" w14:textId="64482E57" w:rsidR="00BF2407" w:rsidRPr="00327FF7" w:rsidRDefault="00BF2407" w:rsidP="00327F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14.</w:t>
      </w:r>
      <w:r w:rsidR="00014A7B" w:rsidRPr="00327FF7">
        <w:rPr>
          <w:rFonts w:ascii="Helvetica" w:hAnsi="Helvetica" w:cs="Arial"/>
          <w:sz w:val="20"/>
          <w:lang w:val="lt-LT"/>
        </w:rPr>
        <w:t xml:space="preserve"> </w:t>
      </w:r>
      <w:r w:rsidRPr="00327FF7">
        <w:rPr>
          <w:rFonts w:ascii="Helvetica" w:hAnsi="Helvetica" w:cs="Arial"/>
          <w:sz w:val="20"/>
          <w:lang w:val="lt-LT"/>
        </w:rPr>
        <w:t xml:space="preserve">Antikūnas arba </w:t>
      </w:r>
      <w:r w:rsidR="00E82251" w:rsidRPr="00327FF7">
        <w:rPr>
          <w:rFonts w:ascii="Helvetica" w:hAnsi="Helvetica" w:cs="Arial"/>
          <w:sz w:val="20"/>
          <w:lang w:val="lt-LT"/>
        </w:rPr>
        <w:t>antigeną surišanti jo dalis</w:t>
      </w:r>
      <w:r w:rsidRPr="00327FF7">
        <w:rPr>
          <w:rFonts w:ascii="Helvetica" w:hAnsi="Helvetica" w:cs="Arial"/>
          <w:sz w:val="20"/>
          <w:lang w:val="lt-LT"/>
        </w:rPr>
        <w:t xml:space="preserve">, </w:t>
      </w:r>
      <w:r w:rsidR="00014A7B" w:rsidRPr="00327FF7">
        <w:rPr>
          <w:rFonts w:ascii="Helvetica" w:hAnsi="Helvetica" w:cs="Arial"/>
          <w:sz w:val="20"/>
          <w:lang w:val="lt-LT"/>
        </w:rPr>
        <w:t>skirti panaudoti</w:t>
      </w:r>
      <w:r w:rsidRPr="00327FF7">
        <w:rPr>
          <w:rFonts w:ascii="Helvetica" w:hAnsi="Helvetica" w:cs="Arial"/>
          <w:sz w:val="20"/>
          <w:lang w:val="lt-LT"/>
        </w:rPr>
        <w:t xml:space="preserve"> pagal 12 arba 13 punktą, kur</w:t>
      </w:r>
    </w:p>
    <w:p w14:paraId="66876F27" w14:textId="73E74EC9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(i) gydymas yra pa</w:t>
      </w:r>
      <w:r w:rsidR="00014A7B" w:rsidRPr="00327FF7">
        <w:rPr>
          <w:rFonts w:ascii="Helvetica" w:hAnsi="Helvetica" w:cs="Arial"/>
          <w:sz w:val="20"/>
          <w:lang w:val="lt-LT"/>
        </w:rPr>
        <w:t>geri</w:t>
      </w:r>
      <w:r w:rsidRPr="00327FF7">
        <w:rPr>
          <w:rFonts w:ascii="Helvetica" w:hAnsi="Helvetica" w:cs="Arial"/>
          <w:sz w:val="20"/>
          <w:lang w:val="lt-LT"/>
        </w:rPr>
        <w:t>nantis šuns niež</w:t>
      </w:r>
      <w:r w:rsidR="00014A7B" w:rsidRPr="00327FF7">
        <w:rPr>
          <w:rFonts w:ascii="Helvetica" w:hAnsi="Helvetica" w:cs="Arial"/>
          <w:sz w:val="20"/>
          <w:lang w:val="lt-LT"/>
        </w:rPr>
        <w:t>ulio</w:t>
      </w:r>
      <w:r w:rsidRPr="00327FF7">
        <w:rPr>
          <w:rFonts w:ascii="Helvetica" w:hAnsi="Helvetica" w:cs="Arial"/>
          <w:sz w:val="20"/>
          <w:lang w:val="lt-LT"/>
        </w:rPr>
        <w:t xml:space="preserve"> būkl</w:t>
      </w:r>
      <w:r w:rsidR="00014A7B" w:rsidRPr="00327FF7">
        <w:rPr>
          <w:rFonts w:ascii="Helvetica" w:hAnsi="Helvetica" w:cs="Arial"/>
          <w:sz w:val="20"/>
          <w:lang w:val="lt-LT"/>
        </w:rPr>
        <w:t>ę</w:t>
      </w:r>
      <w:r w:rsidRPr="00327FF7">
        <w:rPr>
          <w:rFonts w:ascii="Helvetica" w:hAnsi="Helvetica" w:cs="Arial"/>
          <w:sz w:val="20"/>
          <w:lang w:val="lt-LT"/>
        </w:rPr>
        <w:t xml:space="preserve"> gydymas;</w:t>
      </w:r>
    </w:p>
    <w:p w14:paraId="74C00B4C" w14:textId="072C05F1" w:rsidR="00BF2407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 xml:space="preserve">(ii) gydymas palengvina šuns </w:t>
      </w:r>
      <w:r w:rsidR="00014A7B" w:rsidRPr="00327FF7">
        <w:rPr>
          <w:rFonts w:ascii="Helvetica" w:hAnsi="Helvetica" w:cs="Arial"/>
          <w:sz w:val="20"/>
          <w:lang w:val="lt-LT"/>
        </w:rPr>
        <w:t>niežulio būklę;</w:t>
      </w:r>
      <w:r w:rsidRPr="00327FF7">
        <w:rPr>
          <w:rFonts w:ascii="Helvetica" w:hAnsi="Helvetica" w:cs="Arial"/>
          <w:sz w:val="20"/>
          <w:lang w:val="lt-LT"/>
        </w:rPr>
        <w:t xml:space="preserve"> arba</w:t>
      </w:r>
    </w:p>
    <w:p w14:paraId="089278AD" w14:textId="067E648A" w:rsidR="000E3CDA" w:rsidRPr="00327FF7" w:rsidRDefault="00BF2407" w:rsidP="00327F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27FF7">
        <w:rPr>
          <w:rFonts w:ascii="Helvetica" w:hAnsi="Helvetica" w:cs="Arial"/>
          <w:sz w:val="20"/>
          <w:lang w:val="lt-LT"/>
        </w:rPr>
        <w:t>(iii) gydymas sukelia klinikinių simptomų regresiją.</w:t>
      </w:r>
    </w:p>
    <w:sectPr w:rsidR="000E3CDA" w:rsidRPr="00327FF7" w:rsidSect="00327FF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B158" w14:textId="77777777" w:rsidR="00B00C8C" w:rsidRDefault="00B00C8C" w:rsidP="007B0A41">
      <w:pPr>
        <w:spacing w:after="0" w:line="240" w:lineRule="auto"/>
      </w:pPr>
      <w:r>
        <w:separator/>
      </w:r>
    </w:p>
  </w:endnote>
  <w:endnote w:type="continuationSeparator" w:id="0">
    <w:p w14:paraId="0DBD2ECC" w14:textId="77777777" w:rsidR="00B00C8C" w:rsidRDefault="00B00C8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9760" w14:textId="77777777" w:rsidR="00B00C8C" w:rsidRDefault="00B00C8C" w:rsidP="007B0A41">
      <w:pPr>
        <w:spacing w:after="0" w:line="240" w:lineRule="auto"/>
      </w:pPr>
      <w:r>
        <w:separator/>
      </w:r>
    </w:p>
  </w:footnote>
  <w:footnote w:type="continuationSeparator" w:id="0">
    <w:p w14:paraId="1D907C04" w14:textId="77777777" w:rsidR="00B00C8C" w:rsidRDefault="00B00C8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4A7B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91F94"/>
    <w:rsid w:val="002B66D9"/>
    <w:rsid w:val="002E0F37"/>
    <w:rsid w:val="002F14F9"/>
    <w:rsid w:val="003039EC"/>
    <w:rsid w:val="00316FB7"/>
    <w:rsid w:val="00327FF7"/>
    <w:rsid w:val="00334817"/>
    <w:rsid w:val="003636D8"/>
    <w:rsid w:val="003700E9"/>
    <w:rsid w:val="00370A78"/>
    <w:rsid w:val="00372A7E"/>
    <w:rsid w:val="003929C8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47399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2058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C222B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B425C"/>
    <w:rsid w:val="00AD4691"/>
    <w:rsid w:val="00AE4C3F"/>
    <w:rsid w:val="00AE51EA"/>
    <w:rsid w:val="00AE7DF3"/>
    <w:rsid w:val="00AF3096"/>
    <w:rsid w:val="00B00C8C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BF240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D2499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46CC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82251"/>
    <w:rsid w:val="00E91AE0"/>
    <w:rsid w:val="00EB1EE5"/>
    <w:rsid w:val="00EB6F08"/>
    <w:rsid w:val="00EC2BD7"/>
    <w:rsid w:val="00ED04B0"/>
    <w:rsid w:val="00F01CE8"/>
    <w:rsid w:val="00F12F91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97CBA"/>
    <w:rsid w:val="00FA0DC7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5F70B6D6-53D5-4213-AC18-E91B1AE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3286</Characters>
  <Application>Microsoft Office Word</Application>
  <DocSecurity>0</DocSecurity>
  <Lines>76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2025-11-29T08:03:00Z</dcterms:created>
  <dcterms:modified xsi:type="dcterms:W3CDTF">2025-12-03T11:00:00Z</dcterms:modified>
</cp:coreProperties>
</file>