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Išradimas skirtas i-RNR panaudojimui bioaktyviose medžiagose, tarp jų -  gydymui, profilaktikai, kosmetinei priežiūrai skirtose kompozicijose, reguliuojančiose fiziologines ir imunines reakcijas. Išradimo esmę sudaro tai, kad panaudojamas RNR, išskirtų iš ląstelių ir įleistų į paciento organizmą, sugebėjimas funkcionuoti kaip baltymų matrica bioaktyvių medžiagų gamybai ir naudojimui. Pasirinktų RNR kiekio recipiento organizme reguliavimas suteikia šias galimybes:@ - įleidžiant į organizmą pasirinktas RNR, galima užtikrinti arba padidinti recipiento organizme reikiamų baltymų junginių  arba kitų medžiagų, kurių sintezėje dalyvauja baltymų junginiai, gamybą;@ - įleidžiant į organizmą pasirinktas RNR, koduojančias antigeninių medžiagų baltymus, galima sumažinti imuninį atsaką į konkrečius baltymus, jų junginius arba kitas imunogeniškas medžiagas (tarp jų transplantuojami organai, ląstelės), kurių sudėtyje yra tam tikri baltymai;@ - pašalinant iš naudojamų antigeninių medžiagų RNR, koduojančias antigeninių medžiagų baltymus, galima padidinti imuninį atsaką į konkrečius baltymus, jų junginius arba kitas imunogeniškas  medžiagas (pavyzdžiui, pirmuonis, helmintus, virusus, vėžines ląsteles).@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