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Formos pagrindas gelžbetonio elementų gamybai turi formos rėmą (8), kuris driekiasi tarp pagrindo galų. Tempimo galvutės sumontuotos pagrindo galose ir skirtos armuotų lynų arba strypų (10), besidriekiančių formos tuštumoje, įtempimui. Formos rėmas (8) turi išilgai besidriekiančius sijos elementus (4), kurie amortizuoja slėgio jėgas, veikiančias kaip kontraslėgio jėgos, kilusios iš įtempimo jėgų,sukeltų tempimo galvutėmis, kai strypai tempiami. Šiais sijos elementais yra ilgos sijos (4), pvz., stačiakampio profilio strypai, kurie apsupti nenutrūkstamai arba nutrūkstamai besitęsiančios movos elementais (5). Jais sijos (4) apsaugotos nuo šoninio išlinkimo arba lūžimo nuo slėgio jėgų, įtempimo sukeltų strypuose (10). Movos elementai (5) pritvirtinami inkaravimo įtaisais (14), kurie sukabintipo jais esančiame paviršiuje. Nailono sluoksnis arba danga išdėstomi taip, pvz., tarp sijų (4) ir movos elementų, kad palengvintų abipusį judėjimą tarp sijų ir movos elementų. Alternatyviai, šiuo tikslu gali būti naudojami ratukai arba velenėliai.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