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Pirštų maišelio mezginį (T) pirmiausiai formuoja pirmojo pusračio (A) adatos (1). Po to, siekiant perduoti minėto maišelio (T) pradinį laisvą kraštą (T1) papildomo lanko adatoms ir pradėti cilindrinio audinio mezgimą, aplink adatų rato dalies vidinę pusę ištęstos angos (10) pagalba sukuriama koncentruoto oro įsiurbimo sritis. Ji pagauna minėto maišelio laisvą kraštą judėjimo metu. Po to, išcentriškai judant svirtelėms, ant kurių yra įtaisyti spygliai, minėtas laisvas kraštas (T1) palaipsniui traukiamas už adatų rato, adatos pakyla ir perveria mezginį (T) aplink minėtą pradinį kraštą (T).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