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hidraulic power engineering and may be adopted to converting an energy of water flow into an electrical or mechanical energy, for example in agriculture, public services, small enterprises.@The operating wheel of the engine, using the energy of flowing medium, consists of housing (1), which comprises two rectangular frames (2) communicating near an axis of the wheel. Force rings (4) are fixed to the ends of the frame (2) supports (3). Crossing flanges (6) of the frame (2) are working as locks of the blades (5) possition. In opposite sides of crossing place of the frames (2), there are fixed steel angle peaces (7) designated to fixing the operating wheel of the engine to a rope (not shown in the drawing). The blades (5) have a form of channel with a butterfly valve(8) and consist of a plain rectangular support (9) and two side walls (10) having a triangle form. Smaller sides of the side walls (10) are placed at the end of the blade (5) and the walls (10) mounted at rounded angle (105-110°) in respect of the blade (5) support. The butterfly valve (8) is rotatably fixed on the axis (11) at the outer parts of the blade (5) side walls (10) and being closed flattens against the blade support (9) at an angle (110-115°). The blades (5) are rotatably mounted in the cross-bars (12) of the frames (2) by a sleeve (13) fixed to an outer surface of the blade support(9) at 1/3 of the support (9) length from the end of the blade (5). The width of the blade (5) is equal to a distance between the rings (4). The length of the blade (5) is determined according formula: L=(K-1):2, wherein L - the blade length, m; K - the depth of the river, 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