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Kortikotropiną išlaisvinančio faktoriaus (CRF) antagonistai, kurių formulė (1) arba (2), ir jų panaudojimas gamyboje vaistų, skirtų nerimo, depresijos ir kitokių psichinių, neurologinių sutrikimų, o taip pat ir imunologinių, širdies-kraujagyslių arba širdies ligų bei žarnų hiperjautrumo, susijusio su psichopatologiniu pakenkimu ir stresu,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