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Corticotropin releasing factor (CRF) antagonists of formula (I) or (II) and their use in the manufacture of drugs for treating anxiety, depression and other psychiatric, neurological disorders as well as treatment of immunological, cardiovascular or heart-related diseases and colonic hypersensitivity associated with psychopathological disturbance and stress.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