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riebalų ir aliejaus pramonei ir gali būti panaudotas kokybiškų vitaminizuotų ir aromatizuotų maistinių salotinių bei kepimo aliejų gavimui.@Aliejų kompozicija sudaryta iš rafinuotų, balintų, dezodoruotų rapsų ir saulėgrąžų aliejų arba jų mišinių, parinktų atsižvelgiant į riebalų rūgščių sudėtį, papildomai įvedant raudonojo palmių aliejaus (RPA) arba jo oleino (RPO) arba superoleino (RPSO) frakcijų ir aliejinio česnako ekstrakto, esant šiam komponentų santykiui, masės %:@raudonasis palmių aliejus (RPA) arba jo oleino (RPO) arba superoleino (RPSO) frakcijos    5 - 50, @rapsų aliejus   40 - 95@arba saulėgrąžų aliejus  40 - 95, @arba rapsų ir saulėgrąžų aliejaus mišinys   40 - 95.@Aliejinio česnako ekstrakto rapsų aliejuje papildomai įvedama rapsų aliejaus sąskaita 1 - 30 masės %.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