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pramonei. Išradimo tikslas - pagerinti juslines ir fizikines-chemines alaus savybes, o taip pat užtikrinti gerą alaus kokybę. Alaus kompoziciją sudaro, masės %:@miežinis salyklas</w:t>
        <w:tab/>
        <w:tab/>
        <w:tab/>
        <w:tab/>
        <w:tab/>
        <w:tab/>
        <w:t>55-60@karamelinis salyklas</w:t>
        <w:tab/>
        <w:tab/>
        <w:tab/>
        <w:tab/>
        <w:tab/>
        <w:t>15-20@spalvos salyklas</w:t>
        <w:tab/>
        <w:tab/>
        <w:tab/>
        <w:tab/>
        <w:tab/>
        <w:tab/>
        <w:t>7-10@granuliuoti apyniai (15 % alfa karčioji medžiaga)</w:t>
        <w:tab/>
        <w:tab/>
        <w:t>0,3-0,6@žirniai</w:t>
        <w:tab/>
        <w:tab/>
        <w:tab/>
        <w:tab/>
        <w:tab/>
        <w:tab/>
        <w:tab/>
        <w:t>10-13@giros ekstraktas</w:t>
        <w:tab/>
        <w:tab/>
        <w:tab/>
        <w:tab/>
        <w:tab/>
        <w:tab/>
        <w:t>0,3-0,6@alaus mielės</w:t>
        <w:tab/>
        <w:tab/>
        <w:tab/>
        <w:tab/>
        <w:tab/>
        <w:tab/>
        <w:t xml:space="preserve"> 3- 5.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