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sričiai, o būtent farmacijos pramonei ir gali būti naudojamas kaip priešglaukominis vaistas.@Išradimo tikslas - padidinti preparato stabilumą.@Akių lašus sudaro komponentai, g:@Klofelinas (Clophelinum)</w:t>
        <w:tab/>
        <w:tab/>
        <w:tab/>
        <w:tab/>
        <w:t xml:space="preserve"> 12,5; 2,5 ir 5,0,@Poligliukinas (Polyglucinum)</w:t>
        <w:tab/>
        <w:tab/>
        <w:tab/>
        <w:t>60,0,@Natrio vandenilio fosfatas (NaH2PO4)</w:t>
        <w:tab/>
        <w:tab/>
        <w:t xml:space="preserve"> 7,55,@Dinatrio vandenilio fosfatas (Na2HPO4)</w:t>
        <w:tab/>
        <w:tab/>
        <w:t>10,3,@Nipaginas (Nipaginum)</w:t>
        <w:tab/>
        <w:tab/>
        <w:tab/>
        <w:tab/>
        <w:t xml:space="preserve"> 1,0,@Injekcinis vanduo (Aqua pro injectionibus)</w:t>
        <w:tab/>
        <w:tab/>
        <w:t>iki 1000.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