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Fluorescent Pseudomonas spp. are described which are effective for the control of diseases caused by one or more of Rhizoctonia, Gaeumannomyces graminis and Pythium. The subject biocontrol strains have a unique genotype as shown by a characteristic banding pattern, and exibit root-colonizing ability which is characterized by both higher population density on roots and extended colonizing activity compared to known Gg-suppressive strains. A further property is the ability of a strain to duplicate the level of biocontrol obtained naturally in a take-all decline soil. Methods for isolation and identification of the strains and their use to control diseases caused by Gg are provided. Transgenic fluorescent Pseudomonas spp. which have a locus which encodes for the production of the antibiotic 2,4-diacetylphloroglucinol and have a biosynthetic locus which encodes for the production of the antibiotic phenazine-1-carboxylic acid stably introduced into the genome are also described.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