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is directed to a novel crystalline 6-hydroxy-3-(4-[2-(piperidin-1-yl)ethoxy)-2-(4-methoxyphenyl)benzo[b]thiophene hydrochloride and uses for same, including inhibition of didease states associated with estrogen deprivation including cardiovascular disease, hyperlipidemia, and osteoporosis; and inhibition of other pathological conditions such as endometriosis, uterine fibrosis, estrogen-dependent cancer, benign prostatic hyperplasia, CNS disorders including Alzheimer's didease, prevention of breast cancer and up-regulating ChAT.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