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a novel crystalline hydrate of 6-hydroxy-3-(4-[2-(piperidin-1-yl)ethoxy]phenoxy)-2-(4-methoxyphenyl)benzo[b]thiphene hydrochloride and uses for same, including inhibition of disease states associated with estrogen deprivation including cardiovascular disease, hyperlipidemia, and osteoporosis; and inhibition of other pathological conditions such as endometriosis, uterine fibrosis, estrogen-dependent cancer (including breast and uterine cancer), prostate cancer, benign prostatic hyperplasia, CNS disorders including Alzheimer's disease, prevention of breast cancer, and up-regulating ChAT.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