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particularly, to pharmaceutical industry and may be applied in midwifery to stimulate lactation  after accouchement. The invention aims to increase pharmacotherapheutic activity of the preparation and to provide its high-quality action without any undesirable side-effects on nourishing mother. The active substance of lactation stimulating preparate - nasal drops oxytocine is chromatographically pure substance obtained from natural source, namely, extracted from live-stock hypophysis back part. The nasal drops composition is as follows:@Active substance:@Natural oxytocine                                                                                 80 mg,@Preservants:@Nipagen                                                                                                0,7 g,@Nipasol                                                                                                  0,3 g,@or@Benzalkonium chloride                                                                        0,1 g,@Stabilizator:@Sodium acetate x 3H2O                                                                      2,2 g,@Chemically pure acetic acid (concentration 0,1 mol/l)                      836,60 ml@Isotonic solution:@Sodium chloride (NaCl)                                                                      8,0 g,@Injectable water                                                                                  up to 1000 ml.@The active substance oxytocine is dissolved in buffer solution obtained dissolving sodium acetate in acetic acid and diluting by injectable water. The solution obtained is then isotonised by sodium chloride, preserved with nipagen and nipasol, filtered and bottled. The nasal drops are used by 2 drops before first child nourishing  increasing dose up to 6 drops before each nourishing.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