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Pateikti aP2 inhibuojantys bifeniliniai heterociklai, skirti panaudoti diabeto ir giminingų ligų, ypatingai II tipo diabeto, gydymui, panaudojant tokį aP2 inhibitorių arba tokio aP2 inhibitoriaus ir kito priešdiabetinio agento, tokio kaip metforminas, gliburidas, troglitazonas ir/arba insulinas, derinį.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