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gamybos atliekų, turinčių labai kenksmingų gyvsidabrio garų, perdirbimui (naikinimui) bei kitų atliekų (stiklo, metalo) atskyrimui, pavyzdžiui, iš liuminescencinių lempų. Elementinio gyvsidabrio turinčių lempų perdirbimo būdas, apimantis lempų išhermetizavimą, pasižymi tuo, kad lempas sudaužo uždarame reaktoriuje, ant išlaisvinto elementinio gyvsidabrio pastoviai purškia demerkurizuojantį skystį, esant darbinei temperatūrai 16 - 40 °C tol, kol gyvsidabrio garų koncentracija pasiekia leistiną ribą, dalį skysčio srauto nukreipia į stiklo duženas, kad užtikrintų nuolatinį skysčio maišymąsi ir skystojo gyvsidabrio lašelių reagavimą su demerkurizuojančiu skysčiu. Perdirbimo įrenginys pasižymi tuo, kad turi uždarą reaktoriaus kamerą, skirtą gyvsidabrio garams reaguoti su demerkurizuojančiu skysčiu, kurioje išdėstyti transporteriai, lempų daužymo įtaisas, stiklo duženų smulkintuvas, be to, reaktoriaus dugne yra įduba, skirta netirpių ir netoksiškų gyvsidabrio junginių nuosėdų kaupimui. Įrenginys aprūpintas proceso valdymo aparatūra.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