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energetikos sričiai, būtent darbinės masės vientiso aplinkos srauto kinetinei energijai transformuoti į elektros energiją ir gali būti panaudotas vėjo elektros stotyse, šiluminėse elektros stotyse, vandens elektros stotyse, o taip pat utilizuojant termoinduktyvinių srautų energiją, gautą utilizavimo katiluose su tiesioginiu vandens ir degimo produktų kontaktu. Įrenginys turi antpagrindo (1) sumontuotą su galimybe suktis ir fiksuotis bet kurioje padėtyje, atraminį karkasą (2). Atraminis karkasas (2) turi aukštais išdėstytas platformas (3, 3', 3''), ant kiekvienos kurių pritvirtintas atskiras konfuzorius (5, 5', 5'') ir bent jau viena pagrindinė horizontali išcentrinė turbina (4, 4', 4''), kiekvienos kurios pirmasis įėjimas per tangentiškai cilindriniam korpusui (14) prijungtą atitinkamą atvamzdį (17, 17', 17'') hermetiškai sujungtas su tame pačiame aukšte esančio atitinkamo konfuzoriaus (5, 5', 5'') išėjimu, o kiekvienos turbinos (4, 4') išėjimas sujungtas su aukščiaustovinčios atitinkamos pagrindinės turbinos (4', 4'') antruoju įėjimu, sudarant nuoseklią turbinų (4, 4', 4'') jungimo grandinę bei sukuriant dalies darbinio srauto nuoseklią inžekciją iš žemiau esančios turbinos (4) į aukščiau esančias turbinas (4',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