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in the field of medicine, in  particular - neurosurgery, and  may be used for clinical differential diagnostics of intracranial hemorrhages of aneurysmal and hypertensive origin. The system incorporates the most important diagnostic features, distinguishing aneurysmal  hemorrhage from hypertensive: patient's age, arterial hypertension,  changes in  consciousness and impairment in extremity movements. Using this system for clinical differential diagnostics in patients with intracranial hemorrhages, the prognostic accuracy  was  70,7-83,6 % in cases with hemorrhages of aneurismal origin, and  70,0-100 % in cases with hemorrhages of hypertensive origin.. The system may be used for a triage of patients   prior to hospitalization; it does not require special medical equipment; and consists of diagnostic features, assessable by physicians without a special neurological training.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