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 medicine, in the field of neurosurgery, and is applicable in determination of operative outcomes in middle-aged patients with supratentorial intracranial hemorrhages of hypertensive origin.@The system contains 6 features (risk factors) determining surgical prognosis: systemic illness, clinical-anatomical classification of intracranial hemorrhage, intracranial hypertension, hydrocephalus, clinical status on the day of surgery, time from event to surgery. Prognostication of surgical management is performed calculating the log of odds (Y) using the following formula:@Y = 5.79-0.02(X1+0.74(X2-0.59(X3-0.69(X4-1.34(X5+0.06(X6 ,@where X0, X1, X2, ..., X6 - the values of prognostic factors in individual patient.@When Y&gt;0 the prognosis of the surgical outcome is survival, when Y&lt;0 - lethal outcome.@The prognostic system of operative outcomes in middle-aged patients with supratentorial intracranial hemorrhages of hypertensive origin is unique, allowing selection of suitable surgical candidates in whom surgery is likely to change the outcome, and using this system the accurate prognosis was detected in 68.2 % of cases. The system includes prognostic factors, with their severity determined in clinical evaluation of neurosurgical patients with acute hemorrhagic events, and does not require complex data entry and computer programming for logistic regression calculations, and therefore - determination of operative prognosis.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