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medicine, in the field of neurosurgery, and is applicable in determination of operative outcomes in geriatric patients with supratentorial intracranial hemorrhages of hypertensive origin.@The system contains 6 features (risk factors) determining surgical prognosis: systemic illness, clinical-anatomical classification of intracranial hemorrhage, intracranial hypertension, hydrocephalus, clinical status on the day of surgery, time from event to surgery. Prognostication of surgical management is performed calculating the log of odds (Y) using the following formula:@Y = 22.35-3.72X1-3.51X2+0.91X3-0.15X4-2.94X5+0.13X6 ,@where X0, X1, X2, ..., X6 - the values of prognostic factors in individual patient.@When Y&gt;0 the prognosis of the surgical outcome is survival, when Y&lt;0 - lethal outcome.@The prognostic system of operative outcomes in geriatric patients with supratentorial intracranial hemorrhages of hypertensive origin is unique, allowing selection of suitable surgical candidates in whom surgery is likely to change the outcome, and using this system the accurate prognosis was detected in 82.7 % of cases. The system includes prognostic factors, with their severity determined in clinical evaluation of neurosurgical patients with acute hemorrhagic events, and does not require complex data entry and computer programming for logistic regression calculations, and therefore - determination of operative prognosis.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