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 medicine, in the field of neurosurgery, and is applicable in determination of operative outcomes in middle-aged patients with intracranial hemorrhages of aneurysmal origin. The system contains 8 features (risk factors) determining surgical prognosis: systemic illness, clinical-anatomical classification of intracranial hemorrhage, delayed cerebral ischemia (spasmogenic), intracranial hypertension, hydrocephalus, clinical status on the day of surgery, time from event to surgery, recurrent hemorrhage. Prognostication of surgical management is performed calculating the log of odds (Y) using the following formula:@Y = -1.79+(-0.46).X1+0.59.X2+1.8.X3+(-0.08).X4+0.08.X5+(-2.43).X6+0.43.X7+1.18.X8,@where X1, X2, ..., X8 - the values of prognostic factors in individual patient.When Y&gt;=0 the prognosis of the operative outcome is survival, when Y&lt;0 - lethal outcome. Using the prognostic system of operative outcomes in middle-aged patients with intracranial hemorrhages of aneurysmal origin the accurate prognosis was detected in 80.9% of cases. The system includes factors, determined in clinical evaluation of neurosurgical patients with acute hemorrhagic events, and does not require complex data entry and computer programming for logistic regression calculations.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