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provides soluble CTLA4 mutant molecules which hind with greater  avidity to the CD80 and/or CD86 antigen than wild type CTLA4 or non-mutated CTLA4Ig. The soluble CTLA4 molecules  have a first amino acid sequence comprising the extracellular domainof CTLA4, where certain amino acid residues within the S25-R33 region and M97-G107 region are mutated. The mutant molecules of the invention may also include a second amino acid sequence which increases the solubility of the mutant molecule.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