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Kompiuterio pelės tipo įvedimo-išvedimo įrenginys akliesiems gali būti plačiai panaudotas tiek mokant akluosius dirbti kompiuteriu, tiek toliau vystant horizontaliojo judesio pritaikymo perduoti informacijai tyrimams. Šio išradimo tikslas - pagerinti informacijos perdavimą akliesiems supaprastinant konstrukciją. Kompiuterio pelės tipo įvedimo-išvedimo įrenginys akliesiems sudarytas iš bloko ir kompiuterio pelės, kurioje patalpinti magnetai (1 ir 2) ant spyruoklių (3), kiekvienas magnetas apvyniotas ritės apvija (4), be to, korpuse (5) yra trys ertmės (6) spyruoklėms (3) montuoti, bei kaiščiai  (7), o viršutinėje plokštelėje (8) yra pailgos ertmės (9) magnetų viršutiniams elementams (10) iškišti. Magnetų viršutiniai elementai (10) skirti magneto judesio perdavimui į pirštą, be to , šoniniųmagnetų formos skiriasi nuo vidurinio. Plokštės (8 ir 11) pritvirtintos magnetų apačioje. Konstrukcija šiame įrenginyje paprastesnė, pagerėjo informacijos perdavimas. Išradimo kūrimo išlaidos mažesnės,  lyginant su prototipu. Tai sąlygoja įrenginio paprastumas.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