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erdvinių formų gaminių iš medžio dalių gamybos būdui ir gali būti panaudotas minkštų nestandartinių baldų karkasams, turintiems lenktų ir/arba susuktų formų išgaubtas ir/arba įgaubtas dalis, gaminti ypač jų atramų karkasams gaminti. Minkštų baldų karkasas, turi pagal pasirinktą baldų modelį atitinkamą jo karkaso modelį, susidedantį iš atraminės ir sėdimos dalių, turinčių sujungimo elementus, skirtus minėtoms dalims sujungti ir atjungti, o atraminė dalis turi lenktą su įgaubimais ir/arba išgaubimais erdvinę formą,  nauja yra tai, kad atraminės dalies karkasas yra sudarytas iš atitinkančių karkaso formai skersinių santvarų, tarpusavyje sujungtų ir sutvirtintų tvirtinimo elementais, atraminės dalies užpakalinė pusė sutvirtinta iš esmės lygiagrečiais pagal karkaso ilgį spyruokliuojančiai profiliais, ant minėto sutvirtinto atraminės dalies karkaso pritvirtintos standžios juostelės, išlyginančios karkaso paviršių, iš viršaus minėta atraminė karkaso dalis suveržiant apjuosta tampriomis juostomis, o karkaso sėdimoji dalis turi rėminę konstrukciją.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