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Methods are provided for engineering novel strand-specific nicking endonukleases by means of an in vivo enrichment of a plasmid library containing a randomly mutagenised restriction endonukleaze gene. The plasmids contain adjacent to the gene a cleavable or nickable saquence for cleaving or nicking by the endonuclease product of the gene and a second recognition site for a second endonuclease. The plasmid library is used to transform unmodified host cells. Plasmids from the cultured transformed cells may be analyzed by in vitro assay for nicking and the nicked plasmids pooled and used to transform host cells. The product is then pooled and the single-stranded specificity of the endonuclease is then determined. The product is either cloned after amplification or identified by use of a selectable marker.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