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analizės būdams, skirtiems nustatyti sunkiųjų metalų koncentraciją medienoje; supaprastinti medžio bandinių paruošimo etapą; išsaugoti medį jo nenupjaunant ir tirti medžių užtaršą  sunkiaisiais metalais. Pateikiamas sunkiųjų metalų koncentracijos nustatymas vienoje metinėje medienos rievėje: ėminiai paimami "amžiaus grąžtu", vėliau mineralizuojami mineralizatoiuje, o sunkiųjų metalų koncentracija nustatoma atominės absorbcinės spektrometrijos būdu. . Sunkiųjų metalų koncentracijos nustatymo metinėje medienoje būdas (medienos masė (0,1 - 0,2 g) santykinės paklaidos kinta nuo   5 iki 19 procentų 0,1 g masės mėginiuose ir nuo 2 iki 21 procento - 0,19 g masės mėginiuose. Santykinių paklaidų kitimo ribos, matuojant sunkiuosius metalus tiek mažos, tiek didelės masės bandiniuose  yra panašios ir imant mažos masės rievės masę, matavimų tikslumas ypatingai nesumažės.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