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autokelių tiesimo sričiai ir gali būti panaudotas tiesiant naujus arba rekonstruojant intensyvaus eismo autokelių mazgus. Žinomi autokelių mazgai, kuriuose nepakankamai saugus eismas, sudėtingi, painūs vairuotojams, brangūs, ribotas jų pralaidumas ir panaudojimas. Turint tikslą padidinti eismo saugumą, mazgo pralaidumą, padaryti suprantamą vairuotojams, sumažinti statybos kaštus, išplėsti panaudojimą trijų krypčių kelių mazgams, kiekvieno kelio važiuojamoji dalis, skirta važiuoti per mazgą, nutiesta didelio spindulio dešiniuoju vingiu iki viaduko ir po juo, toliau - didelio spindulio kairiuoju vingiu iki kito viaduko ir viaduku. Keturių krypčių kelių mazge ši važiuojamoji dalis už viaduko, kuriuo ji nutiesta, padalyta į dvi, kurių kairioji nutiesta kairiuoju vingiu ir artimiausiu viaduku. Penkių krypčių kelių mazge po pirmuoju viaduku nutiestos dvi važiuojamosios dalys, kurios už viaduko nutiestos taip, kad tarp jų, nutiestų artimiausiu viaduku, tilptų ne mažiau kaip viena važiuojamoji dalis. Išradimas pritaikomas trijų, keturių ir penkių krypčių kelių mazgams, kurių esmė išreikšta vienu nepriklausomu ir keturiais priklausomais apibrėžties punktais, o schemos pateiktos trijuose brėžiniuose.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