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elektrotechnikos sričiai, būtent ventilinėms elektros pavaroms, maitinamoms iš nuolatinės įtampos šaltinio. Ventilinė elektros pavara, kurią sudaro variklis, turintis statorių su uždara paskirstyta apvija, rotorių bei komutatorių, sukonstruotą iš valdomų raktinių elementų, sujungtų pagal daugiafazę tiltelinę schemą su įėjimo įvadais, skirtais prijungti prie nuolatinės maitinimo įtampos, bei raktinių elementų išėjimo įvadais prijungtais prie apvijos sekcijų taip, kad sukurtų sukamąjį magnetinį lauką, nauja yra tai, kad komutatorius sukonstruotas taip, kad jo raktinių elementų išėjimo įvadai yra prijungti prie apvijos gretimų sekcijų sujungimų taškų taip, kad komutatoriaus vieni raktiniai elementai prie nuolatinės įtampos vieno poliaus jungtų paeiliui apvijos gretimų sekcijų vienus sujungimo taškus, o nuo jų nutolusius per 180 elektrinių laipsnių kitus apvijos gretimų sekcijų sujungimo taškus komutatoriaus kiti raktiniai elementai atitinkamai jungtų prie nuolatinės įtampos kito poliaus.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