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įgyvendinimas susijęs su antikūnais, nukreiptais prieš monocitų chemotaksio baltymo-1 (MCP-1) antigeną, ir tokių antikūnų panaudojimu. Ypatingai, remiantis kai kuriais įgyvendinimais, numatyti pilnai žmogaus monokloniniai antikūnai, nukreipti prieš MCP-1 antigeną. Pateiktos nukleotidų sekos, koduojančios, ir aminorūgščių sekos, apimančios, imunoglobulino molekulės sunkiąją ir lengvąją grandines, ypatingai sekos, atitinkančios artimoms sunkiosios ir lengvosios grandinės sekoms, apimančioms struktūrinę sritį ir/arba komplementarumą apibrėžiančias sritis (CDR), ypatingai nuo FR1 iki FR4  arba CDR1 iki CDR3. Taip pat pateiktos hibridomos ir kitos ląstelių linijos, ekspresuojančios tokias imunoglobulinų molekules ir monokloninius antikūnus.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