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curable composition for producing a fluid permeable composite material comprising: a particulate material and a binding agent comprising: 25-40 percent by weight of an acrylic polymer, 0,5-20 percent by weight of a fibre, 10-35 percent by weight of a homopolymer of an isocyanate and corresponding isocyanate polymerising agent for forming a crosslinked polymer with said acrylic polymer, and 20-50 percent by weight of n-butyl acetate. The composite material, having high breacking and flexural strenghs, is suitable for use in making pavers, bricks, tilles and stormwater entry grates.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