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puslaidininkinių kristalų fotolaidumo tipui nustatyti žadinimo iš giliųjų lygmenų sąlygomis, kai tiriamajame puslaidininkiniame dviejų spindulių interferencinis šviesos laukas suformuoja dinaminę difrakcinę gardelę, besiskiriantis tuo, kad yra įvedamas papildomas zondavimo pluoštelis, matuojamos zonduojančio pluoštelio difrakcijos efektyvumo laikinės priklausomybės prie skirtingų žadinimo energijos srauto tankių ir gardelės periodų, nustatoma efektinio difuzijos koeficiento priklausomybė nuo žadinimo energijos srauto tankio, iš kurios pobūdžio (efektinio difuzijos koeficiento vertės didėjimo ar mažėjimo) sprendžiama apie kristalo fotolaidumo tipą.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