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precizinės mechanikos sričiai, konkrečiai vibracinėms pavaroms. Išradimas gali būti pritaikomas linijiniuose ir rotoriniuose varikliuose, daugelio laisvės laipsnių pozicionavimo ir manipuliavimo įrenginiuose. Pjezokeraminiame elemente žadinami neharmoniniai rezonansiniai virpesiai susideda iš ne mažiau dviejų kartotinio dažnio rezonansinių harmonikų. Virpesius pjezokeraminiame  elemente žadina keli kartoninio dažnio harmoniniai elektriniai signalai, kurių dažniai atitinka pjezokeraminio elemento rezonansinius dažnius arba vienas pjūklo formos elektrinis signalas, kurio dažnis atitinka vieną iš pjezokeraminio elemento rezonansinių dažnių. Neharmoninių virpesių sužadinimo įrenginyje pjezokeraminio elemento (1) elektrodai padalinti į nemažiau kaip dvi poras (2, 3), o pjezokeraminis elementas (1) su varomąja grandimi kontaktuoja tiesiogiai per trinčiai atsparius elementus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