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Elektrai laidžių dangų modifikavimo būdas, pagal kurį netauriojo metalo sulfido danga redukuojama cheminiu arba elektrocheminiu būdu tirpale, kuriame yra geležies grupės (geležis, kobaltas, nikelis) dvivalenčio metalo jonų. Elektrocheminės redukcijos atveju naudojamas katodinis potencialas neviršija arba nežymiai viršija redukcijos tirpale esančių geležies grupės metalo jonų išsikrovimo potencialą. Cheminės arba elektrocheminės redukcijos tirpale geležies grupės dvivalenčio metalo jonų arba jų mišinio yra ne mažiau kaip 0,005 mol/L.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